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65" w:lineRule="exact"/>
        <w:rPr>
          <w:sz w:val="24"/>
          <w:szCs w:val="24"/>
          <w:color w:val="auto"/>
        </w:rPr>
      </w:pPr>
    </w:p>
    <w:p>
      <w:pPr>
        <w:ind w:left="1260" w:right="3700" w:hanging="1252"/>
        <w:spacing w:after="0" w:line="347" w:lineRule="auto"/>
        <w:tabs>
          <w:tab w:leader="none" w:pos="12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2011</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or</w:t>
      </w:r>
    </w:p>
    <w:p>
      <w:pPr>
        <w:spacing w:after="0" w:line="84" w:lineRule="exact"/>
        <w:rPr>
          <w:sz w:val="24"/>
          <w:szCs w:val="24"/>
          <w:color w:val="auto"/>
        </w:rPr>
      </w:pPr>
    </w:p>
    <w:p>
      <w:pPr>
        <w:ind w:left="1260" w:hanging="1252"/>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73"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5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580" w:type="dxa"/>
            <w:vAlign w:val="bottom"/>
            <w:tcBorders>
              <w:bottom w:val="single" w:sz="8" w:color="auto"/>
            </w:tcBorders>
            <w:gridSpan w:val="3"/>
          </w:tcPr>
          <w:p>
            <w:pPr>
              <w:spacing w:after="0"/>
              <w:rPr>
                <w:sz w:val="17"/>
                <w:szCs w:val="17"/>
                <w:color w:val="auto"/>
              </w:rPr>
            </w:pPr>
          </w:p>
        </w:tc>
      </w:tr>
      <w:tr>
        <w:trPr>
          <w:trHeight w:val="277"/>
        </w:trPr>
        <w:tc>
          <w:tcPr>
            <w:tcW w:w="2320" w:type="dxa"/>
            <w:vAlign w:val="bottom"/>
          </w:tcPr>
          <w:p>
            <w:pPr>
              <w:spacing w:after="0"/>
              <w:rPr>
                <w:sz w:val="24"/>
                <w:szCs w:val="24"/>
                <w:color w:val="auto"/>
              </w:rPr>
            </w:pPr>
          </w:p>
        </w:tc>
        <w:tc>
          <w:tcPr>
            <w:tcW w:w="3400" w:type="dxa"/>
            <w:vAlign w:val="bottom"/>
            <w:gridSpan w:val="5"/>
          </w:tcPr>
          <w:p>
            <w:pPr>
              <w:ind w:left="900"/>
              <w:spacing w:after="0"/>
              <w:rPr>
                <w:sz w:val="20"/>
                <w:szCs w:val="20"/>
                <w:color w:val="auto"/>
              </w:rPr>
            </w:pPr>
            <w:r>
              <w:rPr>
                <w:rFonts w:ascii="Arial" w:cs="Arial" w:eastAsia="Arial" w:hAnsi="Arial"/>
                <w:sz w:val="18"/>
                <w:szCs w:val="18"/>
                <w:b w:val="1"/>
                <w:bCs w:val="1"/>
                <w:color w:val="auto"/>
                <w:w w:val="88"/>
              </w:rPr>
              <w:t>Commission file number 1-10948</w:t>
            </w:r>
          </w:p>
        </w:tc>
      </w:tr>
      <w:tr>
        <w:trPr>
          <w:trHeight w:val="20"/>
        </w:trPr>
        <w:tc>
          <w:tcPr>
            <w:tcW w:w="2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Office Depot,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223520</wp:posOffset>
            </wp:positionV>
            <wp:extent cx="247015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87"/>
              </w:rPr>
              <w:t>Delaware</w:t>
            </w:r>
          </w:p>
        </w:tc>
        <w:tc>
          <w:tcPr>
            <w:tcW w:w="3700" w:type="dxa"/>
            <w:vAlign w:val="bottom"/>
          </w:tcPr>
          <w:p>
            <w:pPr>
              <w:jc w:val="right"/>
              <w:ind w:right="2292"/>
              <w:spacing w:after="0"/>
              <w:rPr>
                <w:sz w:val="20"/>
                <w:szCs w:val="20"/>
                <w:color w:val="auto"/>
              </w:rPr>
            </w:pPr>
            <w:r>
              <w:rPr>
                <w:rFonts w:ascii="Arial" w:cs="Arial" w:eastAsia="Arial" w:hAnsi="Arial"/>
                <w:sz w:val="14"/>
                <w:szCs w:val="14"/>
                <w:b w:val="1"/>
                <w:bCs w:val="1"/>
                <w:color w:val="auto"/>
              </w:rPr>
              <w:t>59-2663954</w:t>
            </w:r>
          </w:p>
        </w:tc>
      </w:tr>
      <w:tr>
        <w:trPr>
          <w:trHeight w:val="149"/>
        </w:trPr>
        <w:tc>
          <w:tcPr>
            <w:tcW w:w="20" w:type="dxa"/>
            <w:vAlign w:val="bottom"/>
          </w:tcPr>
          <w:p>
            <w:pPr>
              <w:spacing w:after="0"/>
              <w:rPr>
                <w:sz w:val="12"/>
                <w:szCs w:val="12"/>
                <w:color w:val="auto"/>
              </w:rPr>
            </w:pPr>
          </w:p>
        </w:tc>
        <w:tc>
          <w:tcPr>
            <w:tcW w:w="7700" w:type="dxa"/>
            <w:vAlign w:val="bottom"/>
            <w:gridSpan w:val="3"/>
          </w:tcPr>
          <w:p>
            <w:pPr>
              <w:jc w:val="center"/>
              <w:ind w:right="2120"/>
              <w:spacing w:after="0" w:line="149" w:lineRule="exact"/>
              <w:rPr>
                <w:sz w:val="20"/>
                <w:szCs w:val="20"/>
                <w:color w:val="auto"/>
              </w:rPr>
            </w:pPr>
            <w:r>
              <w:rPr>
                <w:rFonts w:ascii="Arial" w:cs="Arial" w:eastAsia="Arial" w:hAnsi="Arial"/>
                <w:sz w:val="14"/>
                <w:szCs w:val="14"/>
                <w:color w:val="auto"/>
                <w:w w:val="90"/>
              </w:rPr>
              <w:t>(State or other jurisdiction of</w:t>
            </w:r>
          </w:p>
        </w:tc>
        <w:tc>
          <w:tcPr>
            <w:tcW w:w="3700" w:type="dxa"/>
            <w:vAlign w:val="bottom"/>
          </w:tcPr>
          <w:p>
            <w:pPr>
              <w:jc w:val="center"/>
              <w:ind w:right="15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 w:type="dxa"/>
            <w:vAlign w:val="bottom"/>
          </w:tcPr>
          <w:p>
            <w:pPr>
              <w:spacing w:after="0"/>
              <w:rPr>
                <w:sz w:val="14"/>
                <w:szCs w:val="14"/>
                <w:color w:val="auto"/>
              </w:rPr>
            </w:pPr>
          </w:p>
        </w:tc>
        <w:tc>
          <w:tcPr>
            <w:tcW w:w="7700" w:type="dxa"/>
            <w:vAlign w:val="bottom"/>
            <w:gridSpan w:val="3"/>
          </w:tcPr>
          <w:p>
            <w:pPr>
              <w:jc w:val="center"/>
              <w:ind w:right="2120"/>
              <w:spacing w:after="0"/>
              <w:rPr>
                <w:sz w:val="20"/>
                <w:szCs w:val="20"/>
                <w:color w:val="auto"/>
              </w:rPr>
            </w:pPr>
            <w:r>
              <w:rPr>
                <w:rFonts w:ascii="Arial" w:cs="Arial" w:eastAsia="Arial" w:hAnsi="Arial"/>
                <w:sz w:val="14"/>
                <w:szCs w:val="14"/>
                <w:color w:val="auto"/>
                <w:w w:val="88"/>
              </w:rPr>
              <w:t>incorporation or organization)</w:t>
            </w:r>
          </w:p>
        </w:tc>
        <w:tc>
          <w:tcPr>
            <w:tcW w:w="3700" w:type="dxa"/>
            <w:vAlign w:val="bottom"/>
          </w:tcPr>
          <w:p>
            <w:pPr>
              <w:jc w:val="center"/>
              <w:ind w:right="1592"/>
              <w:spacing w:after="0"/>
              <w:rPr>
                <w:sz w:val="20"/>
                <w:szCs w:val="20"/>
                <w:color w:val="auto"/>
              </w:rPr>
            </w:pPr>
            <w:r>
              <w:rPr>
                <w:rFonts w:ascii="Arial" w:cs="Arial" w:eastAsia="Arial" w:hAnsi="Arial"/>
                <w:sz w:val="14"/>
                <w:szCs w:val="14"/>
                <w:color w:val="auto"/>
                <w:w w:val="91"/>
              </w:rPr>
              <w:t>Identification No.)</w:t>
            </w:r>
          </w:p>
        </w:tc>
      </w:tr>
      <w:tr>
        <w:trPr>
          <w:trHeight w:val="246"/>
        </w:trPr>
        <w:tc>
          <w:tcPr>
            <w:tcW w:w="20" w:type="dxa"/>
            <w:vAlign w:val="bottom"/>
          </w:tcPr>
          <w:p>
            <w:pPr>
              <w:spacing w:after="0"/>
              <w:rPr>
                <w:sz w:val="21"/>
                <w:szCs w:val="21"/>
                <w:color w:val="auto"/>
              </w:rPr>
            </w:pPr>
          </w:p>
        </w:tc>
        <w:tc>
          <w:tcPr>
            <w:tcW w:w="770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0"/>
              </w:rPr>
              <w:t>6600 North Military Trail, Boca Raton, Florida</w:t>
            </w:r>
          </w:p>
        </w:tc>
        <w:tc>
          <w:tcPr>
            <w:tcW w:w="3700" w:type="dxa"/>
            <w:vAlign w:val="bottom"/>
          </w:tcPr>
          <w:p>
            <w:pPr>
              <w:jc w:val="right"/>
              <w:ind w:right="2452"/>
              <w:spacing w:after="0"/>
              <w:rPr>
                <w:sz w:val="20"/>
                <w:szCs w:val="20"/>
                <w:color w:val="auto"/>
              </w:rPr>
            </w:pPr>
            <w:r>
              <w:rPr>
                <w:rFonts w:ascii="Arial" w:cs="Arial" w:eastAsia="Arial" w:hAnsi="Arial"/>
                <w:sz w:val="14"/>
                <w:szCs w:val="14"/>
                <w:b w:val="1"/>
                <w:bCs w:val="1"/>
                <w:color w:val="auto"/>
              </w:rPr>
              <w:t>33496</w:t>
            </w:r>
          </w:p>
        </w:tc>
      </w:tr>
      <w:tr>
        <w:trPr>
          <w:trHeight w:val="172"/>
        </w:trPr>
        <w:tc>
          <w:tcPr>
            <w:tcW w:w="20" w:type="dxa"/>
            <w:vAlign w:val="bottom"/>
          </w:tcPr>
          <w:p>
            <w:pPr>
              <w:spacing w:after="0"/>
              <w:rPr>
                <w:sz w:val="14"/>
                <w:szCs w:val="14"/>
                <w:color w:val="auto"/>
              </w:rPr>
            </w:pPr>
          </w:p>
        </w:tc>
        <w:tc>
          <w:tcPr>
            <w:tcW w:w="7700" w:type="dxa"/>
            <w:vAlign w:val="bottom"/>
            <w:gridSpan w:val="3"/>
          </w:tcPr>
          <w:p>
            <w:pPr>
              <w:jc w:val="center"/>
              <w:ind w:right="2120"/>
              <w:spacing w:after="0"/>
              <w:rPr>
                <w:sz w:val="20"/>
                <w:szCs w:val="20"/>
                <w:color w:val="auto"/>
              </w:rPr>
            </w:pPr>
            <w:r>
              <w:rPr>
                <w:rFonts w:ascii="Arial" w:cs="Arial" w:eastAsia="Arial" w:hAnsi="Arial"/>
                <w:sz w:val="14"/>
                <w:szCs w:val="14"/>
                <w:color w:val="auto"/>
                <w:w w:val="89"/>
              </w:rPr>
              <w:t>(Address of principal executive offices)</w:t>
            </w:r>
          </w:p>
        </w:tc>
        <w:tc>
          <w:tcPr>
            <w:tcW w:w="3700" w:type="dxa"/>
            <w:vAlign w:val="bottom"/>
          </w:tcPr>
          <w:p>
            <w:pPr>
              <w:jc w:val="center"/>
              <w:ind w:right="1592"/>
              <w:spacing w:after="0"/>
              <w:rPr>
                <w:sz w:val="20"/>
                <w:szCs w:val="20"/>
                <w:color w:val="auto"/>
              </w:rPr>
            </w:pPr>
            <w:r>
              <w:rPr>
                <w:rFonts w:ascii="Arial" w:cs="Arial" w:eastAsia="Arial" w:hAnsi="Arial"/>
                <w:sz w:val="14"/>
                <w:szCs w:val="14"/>
                <w:color w:val="auto"/>
                <w:w w:val="90"/>
              </w:rPr>
              <w:t>(Zip Code)</w:t>
            </w:r>
          </w:p>
        </w:tc>
      </w:tr>
      <w:tr>
        <w:trPr>
          <w:trHeight w:val="206"/>
        </w:trPr>
        <w:tc>
          <w:tcPr>
            <w:tcW w:w="7720" w:type="dxa"/>
            <w:vAlign w:val="bottom"/>
            <w:gridSpan w:val="4"/>
          </w:tcPr>
          <w:p>
            <w:pPr>
              <w:jc w:val="center"/>
              <w:ind w:left="3652"/>
              <w:spacing w:after="0"/>
              <w:rPr>
                <w:sz w:val="20"/>
                <w:szCs w:val="20"/>
                <w:color w:val="auto"/>
              </w:rPr>
            </w:pPr>
            <w:r>
              <w:rPr>
                <w:rFonts w:ascii="Arial" w:cs="Arial" w:eastAsia="Arial" w:hAnsi="Arial"/>
                <w:sz w:val="14"/>
                <w:szCs w:val="14"/>
                <w:b w:val="1"/>
                <w:bCs w:val="1"/>
                <w:color w:val="auto"/>
                <w:w w:val="87"/>
              </w:rPr>
              <w:t>(561) 438-4800</w:t>
            </w:r>
          </w:p>
        </w:tc>
        <w:tc>
          <w:tcPr>
            <w:tcW w:w="370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7700" w:type="dxa"/>
            <w:vAlign w:val="bottom"/>
            <w:gridSpan w:val="3"/>
          </w:tcPr>
          <w:p>
            <w:pPr>
              <w:jc w:val="center"/>
              <w:ind w:left="3612"/>
              <w:spacing w:after="0" w:line="149" w:lineRule="exact"/>
              <w:rPr>
                <w:sz w:val="20"/>
                <w:szCs w:val="20"/>
                <w:color w:val="auto"/>
              </w:rPr>
            </w:pPr>
            <w:r>
              <w:rPr>
                <w:rFonts w:ascii="Arial" w:cs="Arial" w:eastAsia="Arial" w:hAnsi="Arial"/>
                <w:sz w:val="14"/>
                <w:szCs w:val="14"/>
                <w:color w:val="auto"/>
                <w:w w:val="86"/>
              </w:rPr>
              <w:t>(Registrant’s telephone number, including area code)</w:t>
            </w:r>
          </w:p>
        </w:tc>
        <w:tc>
          <w:tcPr>
            <w:tcW w:w="370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7700" w:type="dxa"/>
            <w:vAlign w:val="bottom"/>
            <w:gridSpan w:val="3"/>
          </w:tcPr>
          <w:p>
            <w:pPr>
              <w:jc w:val="center"/>
              <w:ind w:left="3632"/>
              <w:spacing w:after="0"/>
              <w:rPr>
                <w:sz w:val="20"/>
                <w:szCs w:val="20"/>
                <w:color w:val="auto"/>
              </w:rPr>
            </w:pPr>
            <w:r>
              <w:rPr>
                <w:rFonts w:ascii="Arial" w:cs="Arial" w:eastAsia="Arial" w:hAnsi="Arial"/>
                <w:sz w:val="14"/>
                <w:szCs w:val="14"/>
                <w:color w:val="auto"/>
                <w:w w:val="87"/>
              </w:rPr>
              <w:t>Securities registered pursuant to Section 12(b) of the Act:</w:t>
            </w:r>
          </w:p>
        </w:tc>
        <w:tc>
          <w:tcPr>
            <w:tcW w:w="3700" w:type="dxa"/>
            <w:vAlign w:val="bottom"/>
          </w:tcPr>
          <w:p>
            <w:pPr>
              <w:spacing w:after="0"/>
              <w:rPr>
                <w:sz w:val="14"/>
                <w:szCs w:val="14"/>
                <w:color w:val="auto"/>
              </w:rPr>
            </w:pPr>
          </w:p>
        </w:tc>
      </w:tr>
      <w:tr>
        <w:trPr>
          <w:trHeight w:val="3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700" w:type="dxa"/>
            <w:vAlign w:val="bottom"/>
          </w:tcPr>
          <w:p>
            <w:pPr>
              <w:jc w:val="center"/>
              <w:ind w:right="1592"/>
              <w:spacing w:after="0"/>
              <w:rPr>
                <w:sz w:val="20"/>
                <w:szCs w:val="20"/>
                <w:color w:val="auto"/>
              </w:rPr>
            </w:pPr>
            <w:r>
              <w:rPr>
                <w:rFonts w:ascii="Arial" w:cs="Arial" w:eastAsia="Arial" w:hAnsi="Arial"/>
                <w:sz w:val="14"/>
                <w:szCs w:val="14"/>
                <w:color w:val="auto"/>
                <w:w w:val="86"/>
              </w:rPr>
              <w:t>Name of each exchange on</w:t>
            </w:r>
          </w:p>
        </w:tc>
      </w:tr>
      <w:tr>
        <w:trPr>
          <w:trHeight w:val="173"/>
        </w:trPr>
        <w:tc>
          <w:tcPr>
            <w:tcW w:w="20" w:type="dxa"/>
            <w:vAlign w:val="bottom"/>
          </w:tcPr>
          <w:p>
            <w:pPr>
              <w:spacing w:after="0"/>
              <w:rPr>
                <w:sz w:val="15"/>
                <w:szCs w:val="15"/>
                <w:color w:val="auto"/>
              </w:rPr>
            </w:pPr>
          </w:p>
        </w:tc>
        <w:tc>
          <w:tcPr>
            <w:tcW w:w="7700" w:type="dxa"/>
            <w:vAlign w:val="bottom"/>
            <w:gridSpan w:val="3"/>
          </w:tcPr>
          <w:p>
            <w:pPr>
              <w:jc w:val="center"/>
              <w:ind w:right="2120"/>
              <w:spacing w:after="0"/>
              <w:rPr>
                <w:sz w:val="20"/>
                <w:szCs w:val="20"/>
                <w:color w:val="auto"/>
              </w:rPr>
            </w:pPr>
            <w:r>
              <w:rPr>
                <w:rFonts w:ascii="Arial" w:cs="Arial" w:eastAsia="Arial" w:hAnsi="Arial"/>
                <w:sz w:val="14"/>
                <w:szCs w:val="14"/>
                <w:color w:val="auto"/>
                <w:w w:val="87"/>
              </w:rPr>
              <w:t>Title of each class</w:t>
            </w:r>
          </w:p>
        </w:tc>
        <w:tc>
          <w:tcPr>
            <w:tcW w:w="3700" w:type="dxa"/>
            <w:vAlign w:val="bottom"/>
          </w:tcPr>
          <w:p>
            <w:pPr>
              <w:jc w:val="center"/>
              <w:ind w:right="1592"/>
              <w:spacing w:after="0"/>
              <w:rPr>
                <w:sz w:val="20"/>
                <w:szCs w:val="20"/>
                <w:color w:val="auto"/>
              </w:rPr>
            </w:pPr>
            <w:r>
              <w:rPr>
                <w:rFonts w:ascii="Arial" w:cs="Arial" w:eastAsia="Arial" w:hAnsi="Arial"/>
                <w:sz w:val="14"/>
                <w:szCs w:val="14"/>
                <w:color w:val="auto"/>
                <w:w w:val="86"/>
              </w:rPr>
              <w:t>which registered</w:t>
            </w:r>
          </w:p>
        </w:tc>
      </w:tr>
      <w:tr>
        <w:trPr>
          <w:trHeight w:val="166"/>
        </w:trPr>
        <w:tc>
          <w:tcPr>
            <w:tcW w:w="20" w:type="dxa"/>
            <w:vAlign w:val="bottom"/>
          </w:tcPr>
          <w:p>
            <w:pPr>
              <w:spacing w:after="0"/>
              <w:rPr>
                <w:sz w:val="14"/>
                <w:szCs w:val="14"/>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Common Stock, par value $0.01 per share</w:t>
            </w:r>
          </w:p>
        </w:tc>
        <w:tc>
          <w:tcPr>
            <w:tcW w:w="44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tcPr>
          <w:p>
            <w:pPr>
              <w:jc w:val="center"/>
              <w:ind w:right="1612"/>
              <w:spacing w:after="0"/>
              <w:rPr>
                <w:sz w:val="20"/>
                <w:szCs w:val="20"/>
                <w:color w:val="auto"/>
              </w:rPr>
            </w:pPr>
            <w:r>
              <w:rPr>
                <w:rFonts w:ascii="Arial" w:cs="Arial" w:eastAsia="Arial" w:hAnsi="Arial"/>
                <w:sz w:val="14"/>
                <w:szCs w:val="14"/>
                <w:color w:val="auto"/>
                <w:w w:val="88"/>
              </w:rPr>
              <w:t>New York Stock Exchange</w:t>
            </w:r>
          </w:p>
        </w:tc>
      </w:tr>
      <w:tr>
        <w:trPr>
          <w:trHeight w:val="219"/>
        </w:trPr>
        <w:tc>
          <w:tcPr>
            <w:tcW w:w="20" w:type="dxa"/>
            <w:vAlign w:val="bottom"/>
          </w:tcPr>
          <w:p>
            <w:pPr>
              <w:spacing w:after="0"/>
              <w:rPr>
                <w:sz w:val="19"/>
                <w:szCs w:val="19"/>
                <w:color w:val="auto"/>
              </w:rPr>
            </w:pPr>
          </w:p>
        </w:tc>
        <w:tc>
          <w:tcPr>
            <w:tcW w:w="7700" w:type="dxa"/>
            <w:vAlign w:val="bottom"/>
            <w:gridSpan w:val="3"/>
          </w:tcPr>
          <w:p>
            <w:pPr>
              <w:jc w:val="center"/>
              <w:ind w:left="3632"/>
              <w:spacing w:after="0"/>
              <w:rPr>
                <w:sz w:val="20"/>
                <w:szCs w:val="20"/>
                <w:color w:val="auto"/>
              </w:rPr>
            </w:pPr>
            <w:r>
              <w:rPr>
                <w:rFonts w:ascii="Arial" w:cs="Arial" w:eastAsia="Arial" w:hAnsi="Arial"/>
                <w:sz w:val="14"/>
                <w:szCs w:val="14"/>
                <w:color w:val="auto"/>
                <w:w w:val="87"/>
              </w:rPr>
              <w:t>Securities registered pursuant to Section 12(g) of the Act: None</w:t>
            </w:r>
          </w:p>
        </w:tc>
        <w:tc>
          <w:tcPr>
            <w:tcW w:w="3700" w:type="dxa"/>
            <w:vAlign w:val="bottom"/>
          </w:tcPr>
          <w:p>
            <w:pPr>
              <w:spacing w:after="0"/>
              <w:rPr>
                <w:sz w:val="19"/>
                <w:szCs w:val="19"/>
                <w:color w:val="auto"/>
              </w:rPr>
            </w:pPr>
          </w:p>
        </w:tc>
      </w:tr>
      <w:tr>
        <w:trPr>
          <w:trHeight w:val="244"/>
        </w:trPr>
        <w:tc>
          <w:tcPr>
            <w:tcW w:w="7720" w:type="dxa"/>
            <w:vAlign w:val="bottom"/>
            <w:gridSpan w:val="4"/>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 </w:t>
            </w:r>
            <w:r>
              <w:rPr>
                <w:rFonts w:ascii="MS PGothic" w:cs="MS PGothic" w:eastAsia="MS PGothic" w:hAnsi="MS PGothic"/>
                <w:sz w:val="14"/>
                <w:szCs w:val="14"/>
                <w:color w:val="auto"/>
                <w:w w:val="95"/>
              </w:rPr>
              <w:t>☐</w:t>
            </w:r>
          </w:p>
        </w:tc>
        <w:tc>
          <w:tcPr>
            <w:tcW w:w="3700" w:type="dxa"/>
            <w:vAlign w:val="bottom"/>
          </w:tcPr>
          <w:p>
            <w:pPr>
              <w:spacing w:after="0"/>
              <w:rPr>
                <w:sz w:val="21"/>
                <w:szCs w:val="21"/>
                <w:color w:val="auto"/>
              </w:rPr>
            </w:pPr>
          </w:p>
        </w:tc>
      </w:tr>
      <w:tr>
        <w:trPr>
          <w:trHeight w:val="230"/>
        </w:trPr>
        <w:tc>
          <w:tcPr>
            <w:tcW w:w="772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3700" w:type="dxa"/>
            <w:vAlign w:val="bottom"/>
          </w:tcPr>
          <w:p>
            <w:pPr>
              <w:spacing w:after="0"/>
              <w:rPr>
                <w:sz w:val="19"/>
                <w:szCs w:val="19"/>
                <w:color w:val="auto"/>
              </w:rPr>
            </w:pPr>
          </w:p>
        </w:tc>
      </w:tr>
    </w:tbl>
    <w:p>
      <w:pPr>
        <w:spacing w:after="0" w:line="43" w:lineRule="exact"/>
        <w:rPr>
          <w:sz w:val="24"/>
          <w:szCs w:val="24"/>
          <w:color w:val="auto"/>
        </w:rPr>
      </w:pPr>
    </w:p>
    <w:p>
      <w:pPr>
        <w:jc w:val="both"/>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jc w:val="both"/>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jc w:val="both"/>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 in Rule 12b-2 of the Exchange Act.</w:t>
      </w:r>
    </w:p>
    <w:p>
      <w:pPr>
        <w:sectPr>
          <w:pgSz w:w="11900" w:h="16838" w:orient="portrait"/>
          <w:cols w:equalWidth="0" w:num="1">
            <w:col w:w="11420"/>
          </w:cols>
          <w:pgMar w:left="240" w:top="230" w:right="239" w:bottom="1440" w:gutter="0" w:footer="0" w:header="0"/>
        </w:sectPr>
      </w:pPr>
    </w:p>
    <w:p>
      <w:pPr>
        <w:spacing w:after="0" w:line="179"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firstLine="203"/>
        <w:spacing w:after="0" w:line="173"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7" w:lineRule="exact"/>
        <w:rPr>
          <w:sz w:val="24"/>
          <w:szCs w:val="24"/>
          <w:color w:val="auto"/>
        </w:rPr>
      </w:pPr>
    </w:p>
    <w:p>
      <w:pPr>
        <w:sectPr>
          <w:pgSz w:w="11900" w:h="16838" w:orient="portrait"/>
          <w:cols w:equalWidth="0" w:num="6">
            <w:col w:w="1220" w:space="60"/>
            <w:col w:w="1580" w:space="720"/>
            <w:col w:w="900" w:space="80"/>
            <w:col w:w="660" w:space="720"/>
            <w:col w:w="3880" w:space="60"/>
            <w:col w:w="1540"/>
          </w:cols>
          <w:pgMar w:left="240" w:top="230" w:right="2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spacing w:after="0" w:line="239" w:lineRule="auto"/>
        <w:rPr>
          <w:sz w:val="20"/>
          <w:szCs w:val="20"/>
          <w:color w:val="auto"/>
        </w:rPr>
      </w:pPr>
      <w:r>
        <w:rPr>
          <w:rFonts w:ascii="Arial" w:cs="Arial" w:eastAsia="Arial" w:hAnsi="Arial"/>
          <w:sz w:val="14"/>
          <w:szCs w:val="14"/>
          <w:color w:val="auto"/>
        </w:rPr>
        <w:t>The aggregate market value of voting stock held by non-affiliates of the registrant as of June 25, 2011 (based on the closing market price on the Composite Tape on June 24, 2011) was approximately $1,155,715,383 (determined by subtracting from the number of shares outstanding on that date the number of shares held by affiliates of Office Depot, Inc.).</w:t>
      </w:r>
    </w:p>
    <w:p>
      <w:pPr>
        <w:spacing w:after="0" w:line="58" w:lineRule="exact"/>
        <w:rPr>
          <w:sz w:val="24"/>
          <w:szCs w:val="24"/>
          <w:color w:val="auto"/>
        </w:rPr>
      </w:pPr>
    </w:p>
    <w:p>
      <w:pPr>
        <w:spacing w:after="0" w:line="239" w:lineRule="auto"/>
        <w:rPr>
          <w:sz w:val="20"/>
          <w:szCs w:val="20"/>
          <w:color w:val="auto"/>
        </w:rPr>
      </w:pPr>
      <w:r>
        <w:rPr>
          <w:rFonts w:ascii="Arial" w:cs="Arial" w:eastAsia="Arial" w:hAnsi="Arial"/>
          <w:sz w:val="14"/>
          <w:szCs w:val="14"/>
          <w:color w:val="auto"/>
        </w:rPr>
        <w:t>The number of shares outstanding of the registrant’s common stock, as of the latest practicable date: At February 15, 2012, there were 280,853,676 outstanding shares of Office Depot, Inc.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TABLE OF CONTENTS</w:t>
            </w:r>
          </w:p>
        </w:tc>
        <w:tc>
          <w:tcPr>
            <w:tcW w:w="3300" w:type="dxa"/>
            <w:vAlign w:val="bottom"/>
            <w:gridSpan w:val="5"/>
          </w:tcPr>
          <w:p>
            <w:pPr>
              <w:spacing w:after="0"/>
              <w:rPr>
                <w:sz w:val="17"/>
                <w:szCs w:val="17"/>
                <w:color w:val="auto"/>
              </w:rPr>
            </w:pPr>
          </w:p>
        </w:tc>
        <w:tc>
          <w:tcPr>
            <w:tcW w:w="1360" w:type="dxa"/>
            <w:vAlign w:val="bottom"/>
          </w:tcPr>
          <w:p>
            <w:pPr>
              <w:spacing w:after="0"/>
              <w:rPr>
                <w:sz w:val="17"/>
                <w:szCs w:val="17"/>
                <w:color w:val="auto"/>
              </w:rPr>
            </w:pPr>
          </w:p>
        </w:tc>
      </w:tr>
      <w:tr>
        <w:trPr>
          <w:trHeight w:val="399"/>
        </w:trPr>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9380" w:type="dxa"/>
            <w:vAlign w:val="bottom"/>
            <w:gridSpan w:val="25"/>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Item 1A. Risk Factors</w:t>
              </w:r>
            </w:hyperlink>
          </w:p>
        </w:tc>
        <w:tc>
          <w:tcPr>
            <w:tcW w:w="7960" w:type="dxa"/>
            <w:vAlign w:val="bottom"/>
            <w:gridSpan w:val="1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Item 1B. Unresolved Staff Comments</w:t>
              </w:r>
            </w:hyperlink>
          </w:p>
        </w:tc>
        <w:tc>
          <w:tcPr>
            <w:tcW w:w="686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6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Item 2. Properties</w:t>
              </w:r>
            </w:hyperlink>
          </w:p>
        </w:tc>
        <w:tc>
          <w:tcPr>
            <w:tcW w:w="8260" w:type="dxa"/>
            <w:vAlign w:val="bottom"/>
            <w:gridSpan w:val="1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3. Legal Proceedings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 Mine Safety Disclosures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PART II</w:t>
              </w:r>
            </w:hyperlink>
          </w:p>
        </w:tc>
        <w:tc>
          <w:tcPr>
            <w:tcW w:w="9360" w:type="dxa"/>
            <w:vAlign w:val="bottom"/>
            <w:gridSpan w:val="24"/>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84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Item 5. Market for Registrant’s Common Equity, Related Stockholder Matters and Issuer Purchases of Equity Securities</w:t>
              </w:r>
            </w:hyperlink>
          </w:p>
        </w:tc>
        <w:tc>
          <w:tcPr>
            <w:tcW w:w="11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 Selected Financial Data</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60" w:type="dxa"/>
            <w:vAlign w:val="bottom"/>
          </w:tcPr>
          <w:p>
            <w:pPr>
              <w:spacing w:after="0"/>
              <w:rPr>
                <w:sz w:val="17"/>
                <w:szCs w:val="17"/>
                <w:color w:val="auto"/>
              </w:rPr>
            </w:pPr>
          </w:p>
        </w:tc>
        <w:tc>
          <w:tcPr>
            <w:tcW w:w="6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7A. Quantitative and Qualitative Disclosures About Market Risk</w:t>
              </w:r>
            </w:hyperlink>
          </w:p>
        </w:tc>
        <w:tc>
          <w:tcPr>
            <w:tcW w:w="268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60" w:type="dxa"/>
            <w:vAlign w:val="bottom"/>
          </w:tcPr>
          <w:p>
            <w:pPr>
              <w:spacing w:after="0"/>
              <w:rPr>
                <w:sz w:val="17"/>
                <w:szCs w:val="17"/>
                <w:color w:val="auto"/>
              </w:rPr>
            </w:pPr>
          </w:p>
        </w:tc>
        <w:tc>
          <w:tcPr>
            <w:tcW w:w="4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8. Financial Statements and Supplementary Data</w:t>
              </w:r>
            </w:hyperlink>
          </w:p>
        </w:tc>
        <w:tc>
          <w:tcPr>
            <w:tcW w:w="460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9. Changes in and Disagreements with Accountants on Accounting and Financial Disclosure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Item 9A. Controls and Procedures</w:t>
              </w:r>
            </w:hyperlink>
          </w:p>
        </w:tc>
        <w:tc>
          <w:tcPr>
            <w:tcW w:w="4460" w:type="dxa"/>
            <w:vAlign w:val="bottom"/>
            <w:tcBorders>
              <w:top w:val="single" w:sz="8" w:color="0000EE"/>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9B. Other Information</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PART III</w:t>
              </w:r>
            </w:hyperlink>
          </w:p>
        </w:tc>
        <w:tc>
          <w:tcPr>
            <w:tcW w:w="1360" w:type="dxa"/>
            <w:vAlign w:val="bottom"/>
          </w:tcPr>
          <w:p>
            <w:pPr>
              <w:spacing w:after="0"/>
              <w:rPr>
                <w:sz w:val="17"/>
                <w:szCs w:val="17"/>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10. Directors, Executive Officers and Corporate Governance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60" w:type="dxa"/>
            <w:vAlign w:val="bottom"/>
          </w:tcPr>
          <w:p>
            <w:pPr>
              <w:spacing w:after="0"/>
              <w:rPr>
                <w:sz w:val="17"/>
                <w:szCs w:val="17"/>
                <w:color w:val="auto"/>
              </w:rPr>
            </w:pPr>
          </w:p>
        </w:tc>
        <w:tc>
          <w:tcPr>
            <w:tcW w:w="4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11. Executive Compensation</w:t>
              </w:r>
            </w:hyperlink>
          </w:p>
        </w:tc>
        <w:tc>
          <w:tcPr>
            <w:tcW w:w="490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00" w:type="dxa"/>
            <w:vAlign w:val="bottom"/>
            <w:gridSpan w:val="2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12. Security Ownership of Certain Beneficial Owners and Management and Related Stockholder Matters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460" w:type="dxa"/>
            <w:vAlign w:val="bottom"/>
          </w:tcPr>
          <w:p>
            <w:pPr>
              <w:spacing w:after="0"/>
              <w:rPr>
                <w:sz w:val="17"/>
                <w:szCs w:val="17"/>
                <w:color w:val="auto"/>
              </w:rPr>
            </w:pPr>
          </w:p>
        </w:tc>
        <w:tc>
          <w:tcPr>
            <w:tcW w:w="7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13. Certain Relationships and Related Transactions, and Director Independence</w:t>
              </w:r>
            </w:hyperlink>
          </w:p>
        </w:tc>
        <w:tc>
          <w:tcPr>
            <w:tcW w:w="1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460" w:type="dxa"/>
            <w:vAlign w:val="bottom"/>
          </w:tcPr>
          <w:p>
            <w:pPr>
              <w:spacing w:after="0"/>
              <w:rPr>
                <w:sz w:val="17"/>
                <w:szCs w:val="17"/>
                <w:color w:val="auto"/>
              </w:rPr>
            </w:pPr>
          </w:p>
        </w:tc>
        <w:tc>
          <w:tcPr>
            <w:tcW w:w="5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14. Principal Accountant Fees and Services</w:t>
              </w:r>
            </w:hyperlink>
          </w:p>
        </w:tc>
        <w:tc>
          <w:tcPr>
            <w:tcW w:w="358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4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PART IV</w:t>
              </w:r>
            </w:hyperlink>
          </w:p>
        </w:tc>
        <w:tc>
          <w:tcPr>
            <w:tcW w:w="9300" w:type="dxa"/>
            <w:vAlign w:val="bottom"/>
            <w:gridSpan w:val="22"/>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Item 15. Exhibits and Financial Statement Schedules</w:t>
              </w:r>
            </w:hyperlink>
          </w:p>
        </w:tc>
        <w:tc>
          <w:tcPr>
            <w:tcW w:w="574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9960" w:type="dxa"/>
            <w:vAlign w:val="bottom"/>
            <w:gridSpan w:val="2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Office Depot, Inc. is a global supplier of office products and services. The company was incorporated in Delaware in 1986 with the opening of our first retail store in Fort Lauderdale, Florida. In fiscal year 2011, we sold $11.5 billion of products and services to consumers and businesses of all sizes through our three business segments: North American Retail Division, North American Business Solutions Division and International Division. Sales are processed through multiple channels, consisting of office supply stores, a contract sales force, an outbound telephone account management sales force, internet sites, direct marketing catalogs and call centers, all supported by our network of supply chain facilities and delivery operations.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regarding our business segments is presented below and in Management’s Discussion and Analysis of Financial Condition and Results of Operations (“MD&amp;A”) and, along with financial information about geographic areas, in Note O — Segment Information of Notes to Consolidated Financial Statements located elsewhere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Retail Division</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North American Retail Division sells a broad assortment of merchandise through our chain of office supply stores throughout the United States. We currently offer general office supplies, computer supplies, business machines and related supplies, and office furniture from national brands as well as our own brands. See the Merchandising section below for additional product information. Our stores also contain a Copy &amp; Print Depot</w:t>
      </w:r>
      <w:r>
        <w:rPr>
          <w:rFonts w:ascii="Arial" w:cs="Arial" w:eastAsia="Arial" w:hAnsi="Arial"/>
          <w:sz w:val="11"/>
          <w:szCs w:val="11"/>
          <w:color w:val="auto"/>
        </w:rPr>
        <w:t>TM</w:t>
      </w:r>
      <w:r>
        <w:rPr>
          <w:rFonts w:ascii="Arial" w:cs="Arial" w:eastAsia="Arial" w:hAnsi="Arial"/>
          <w:sz w:val="18"/>
          <w:szCs w:val="18"/>
          <w:color w:val="auto"/>
        </w:rPr>
        <w:t xml:space="preserve"> offering printing, reproduction, mailing, shipping, and other services and we maintain nationwide availability of a PC support and network installation service that provides our customers with in-home, in-office and in-store support for their technology needs.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stores are designed to provide a positive shopping experience for the customer. We strive to optimize visual presentation, product placement, shelf capacity and in-stock positions. Our goal is to maintain sufficient inventory in the stores to satisfy current and near-term customer needs, while controlling the overall working capital invested in inventory.</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lease our retail stores in facilities that currently average over 20,000 square feet. In recent years, however, our new, relocated, and remodeled stores have been targeted to be approximately 5,000 to 15,000 square feet, depending on the needs in the local market. At the end of 2011, we had eight locations in the smaller store formats of approximately 5,000 square feet. These stores carry approximately 4,800 to 5,000 stock keeping units, or SKUs, providing substantial product offerings to our customers, while lowering our facility and inventory costs.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2011, our North American Retail Division operated 1,131 office supply stores throughout the U.S. The largest concentration of our retail stores is in California, Texas and Florida, but we have broad representation across North America. The count of open stores may include locations temporarily closed for remodels or other factors. Store opening and closing activity for the last three years has been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60" w:type="dxa"/>
            <w:vAlign w:val="bottom"/>
          </w:tcPr>
          <w:p>
            <w:pPr>
              <w:jc w:val="right"/>
              <w:ind w:right="322"/>
              <w:spacing w:after="0"/>
              <w:rPr>
                <w:sz w:val="20"/>
                <w:szCs w:val="20"/>
                <w:color w:val="auto"/>
              </w:rPr>
            </w:pPr>
            <w:r>
              <w:rPr>
                <w:rFonts w:ascii="Arial" w:cs="Arial" w:eastAsia="Arial" w:hAnsi="Arial"/>
                <w:sz w:val="14"/>
                <w:szCs w:val="14"/>
                <w:color w:val="auto"/>
              </w:rPr>
              <w:t>Open at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2"/>
              <w:spacing w:after="0"/>
              <w:rPr>
                <w:sz w:val="20"/>
                <w:szCs w:val="20"/>
                <w:color w:val="auto"/>
              </w:rPr>
            </w:pPr>
            <w:r>
              <w:rPr>
                <w:rFonts w:ascii="Arial" w:cs="Arial" w:eastAsia="Arial" w:hAnsi="Arial"/>
                <w:sz w:val="14"/>
                <w:szCs w:val="14"/>
                <w:color w:val="auto"/>
              </w:rPr>
              <w:t>Open at</w:t>
            </w:r>
          </w:p>
        </w:tc>
        <w:tc>
          <w:tcPr>
            <w:tcW w:w="96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460" w:type="dxa"/>
            <w:vAlign w:val="bottom"/>
          </w:tcPr>
          <w:p>
            <w:pPr>
              <w:jc w:val="right"/>
              <w:ind w:right="262"/>
              <w:spacing w:after="0" w:line="149" w:lineRule="exact"/>
              <w:rPr>
                <w:sz w:val="20"/>
                <w:szCs w:val="20"/>
                <w:color w:val="auto"/>
              </w:rPr>
            </w:pPr>
            <w:r>
              <w:rPr>
                <w:rFonts w:ascii="Arial" w:cs="Arial" w:eastAsia="Arial" w:hAnsi="Arial"/>
                <w:sz w:val="14"/>
                <w:szCs w:val="14"/>
                <w:color w:val="auto"/>
              </w:rPr>
              <w:t>Beginning</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jc w:val="right"/>
              <w:ind w:right="382"/>
              <w:spacing w:after="0" w:line="149" w:lineRule="exact"/>
              <w:rPr>
                <w:sz w:val="20"/>
                <w:szCs w:val="20"/>
                <w:color w:val="auto"/>
              </w:rPr>
            </w:pPr>
            <w:r>
              <w:rPr>
                <w:rFonts w:ascii="Arial" w:cs="Arial" w:eastAsia="Arial" w:hAnsi="Arial"/>
                <w:sz w:val="14"/>
                <w:szCs w:val="14"/>
                <w:color w:val="auto"/>
              </w:rPr>
              <w:t>End</w:t>
            </w:r>
          </w:p>
        </w:tc>
        <w:tc>
          <w:tcPr>
            <w:tcW w:w="960" w:type="dxa"/>
            <w:vAlign w:val="bottom"/>
          </w:tcPr>
          <w:p>
            <w:pPr>
              <w:spacing w:after="0"/>
              <w:rPr>
                <w:sz w:val="12"/>
                <w:szCs w:val="12"/>
                <w:color w:val="auto"/>
              </w:rPr>
            </w:pPr>
          </w:p>
        </w:tc>
      </w:tr>
      <w:tr>
        <w:trPr>
          <w:trHeight w:val="159"/>
        </w:trPr>
        <w:tc>
          <w:tcPr>
            <w:tcW w:w="48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302"/>
              <w:spacing w:after="0" w:line="159" w:lineRule="exact"/>
              <w:rPr>
                <w:sz w:val="20"/>
                <w:szCs w:val="20"/>
                <w:color w:val="auto"/>
              </w:rPr>
            </w:pPr>
            <w:r>
              <w:rPr>
                <w:rFonts w:ascii="Arial" w:cs="Arial" w:eastAsia="Arial" w:hAnsi="Arial"/>
                <w:sz w:val="14"/>
                <w:szCs w:val="14"/>
                <w:color w:val="auto"/>
              </w:rPr>
              <w:t>of Period</w:t>
            </w:r>
          </w:p>
        </w:tc>
        <w:tc>
          <w:tcPr>
            <w:tcW w:w="1060" w:type="dxa"/>
            <w:vAlign w:val="bottom"/>
            <w:tcBorders>
              <w:bottom w:val="single" w:sz="8" w:color="auto"/>
            </w:tcBorders>
          </w:tcPr>
          <w:p>
            <w:pPr>
              <w:jc w:val="right"/>
              <w:ind w:right="237"/>
              <w:spacing w:after="0" w:line="159" w:lineRule="exact"/>
              <w:rPr>
                <w:sz w:val="20"/>
                <w:szCs w:val="20"/>
                <w:color w:val="auto"/>
              </w:rPr>
            </w:pPr>
            <w:r>
              <w:rPr>
                <w:rFonts w:ascii="Arial" w:cs="Arial" w:eastAsia="Arial" w:hAnsi="Arial"/>
                <w:sz w:val="14"/>
                <w:szCs w:val="14"/>
                <w:color w:val="auto"/>
              </w:rPr>
              <w:t>Opened</w:t>
            </w:r>
          </w:p>
        </w:tc>
        <w:tc>
          <w:tcPr>
            <w:tcW w:w="1040" w:type="dxa"/>
            <w:vAlign w:val="bottom"/>
            <w:tcBorders>
              <w:bottom w:val="single" w:sz="8" w:color="auto"/>
            </w:tcBorders>
          </w:tcPr>
          <w:p>
            <w:pPr>
              <w:jc w:val="right"/>
              <w:ind w:right="257"/>
              <w:spacing w:after="0" w:line="159" w:lineRule="exact"/>
              <w:rPr>
                <w:sz w:val="20"/>
                <w:szCs w:val="20"/>
                <w:color w:val="auto"/>
              </w:rPr>
            </w:pPr>
            <w:r>
              <w:rPr>
                <w:rFonts w:ascii="Arial" w:cs="Arial" w:eastAsia="Arial" w:hAnsi="Arial"/>
                <w:sz w:val="14"/>
                <w:szCs w:val="14"/>
                <w:color w:val="auto"/>
              </w:rPr>
              <w:t>Closed</w:t>
            </w:r>
          </w:p>
        </w:tc>
        <w:tc>
          <w:tcPr>
            <w:tcW w:w="1140" w:type="dxa"/>
            <w:vAlign w:val="bottom"/>
            <w:tcBorders>
              <w:bottom w:val="single" w:sz="8" w:color="auto"/>
            </w:tcBorders>
          </w:tcPr>
          <w:p>
            <w:pPr>
              <w:jc w:val="right"/>
              <w:ind w:right="242"/>
              <w:spacing w:after="0" w:line="159" w:lineRule="exact"/>
              <w:rPr>
                <w:sz w:val="20"/>
                <w:szCs w:val="20"/>
                <w:color w:val="auto"/>
              </w:rPr>
            </w:pPr>
            <w:r>
              <w:rPr>
                <w:rFonts w:ascii="Arial" w:cs="Arial" w:eastAsia="Arial" w:hAnsi="Arial"/>
                <w:sz w:val="14"/>
                <w:szCs w:val="14"/>
                <w:color w:val="auto"/>
              </w:rPr>
              <w:t>of Period</w:t>
            </w:r>
          </w:p>
        </w:tc>
        <w:tc>
          <w:tcPr>
            <w:tcW w:w="96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Relocated</w:t>
            </w:r>
          </w:p>
        </w:tc>
      </w:tr>
      <w:tr>
        <w:trPr>
          <w:trHeight w:val="210"/>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146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1,267</w:t>
            </w: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w:t>
            </w:r>
          </w:p>
        </w:tc>
        <w:tc>
          <w:tcPr>
            <w:tcW w:w="10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121</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1,152</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2010</w:t>
            </w:r>
          </w:p>
        </w:tc>
        <w:tc>
          <w:tcPr>
            <w:tcW w:w="1460" w:type="dxa"/>
            <w:vAlign w:val="bottom"/>
          </w:tcPr>
          <w:p>
            <w:pPr>
              <w:jc w:val="right"/>
              <w:ind w:right="262"/>
              <w:spacing w:after="0"/>
              <w:rPr>
                <w:sz w:val="20"/>
                <w:szCs w:val="20"/>
                <w:color w:val="auto"/>
              </w:rPr>
            </w:pPr>
            <w:r>
              <w:rPr>
                <w:rFonts w:ascii="Arial" w:cs="Arial" w:eastAsia="Arial" w:hAnsi="Arial"/>
                <w:sz w:val="18"/>
                <w:szCs w:val="18"/>
                <w:color w:val="auto"/>
              </w:rPr>
              <w:t>1,152</w:t>
            </w: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257"/>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242"/>
              <w:spacing w:after="0"/>
              <w:rPr>
                <w:sz w:val="20"/>
                <w:szCs w:val="20"/>
                <w:color w:val="auto"/>
              </w:rPr>
            </w:pPr>
            <w:r>
              <w:rPr>
                <w:rFonts w:ascii="Arial" w:cs="Arial" w:eastAsia="Arial" w:hAnsi="Arial"/>
                <w:sz w:val="18"/>
                <w:szCs w:val="18"/>
                <w:color w:val="auto"/>
              </w:rPr>
              <w:t>1,147</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460" w:type="dxa"/>
            <w:vAlign w:val="bottom"/>
            <w:shd w:val="clear" w:color="auto" w:fill="CCEEFF"/>
          </w:tcPr>
          <w:p>
            <w:pPr>
              <w:jc w:val="right"/>
              <w:ind w:right="262"/>
              <w:spacing w:after="0"/>
              <w:rPr>
                <w:sz w:val="20"/>
                <w:szCs w:val="20"/>
                <w:color w:val="auto"/>
              </w:rPr>
            </w:pPr>
            <w:r>
              <w:rPr>
                <w:rFonts w:ascii="Arial" w:cs="Arial" w:eastAsia="Arial" w:hAnsi="Arial"/>
                <w:sz w:val="18"/>
                <w:szCs w:val="18"/>
                <w:b w:val="1"/>
                <w:bCs w:val="1"/>
                <w:color w:val="auto"/>
              </w:rPr>
              <w:t>1,147</w:t>
            </w: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9</w:t>
            </w:r>
          </w:p>
        </w:tc>
        <w:tc>
          <w:tcPr>
            <w:tcW w:w="1040" w:type="dxa"/>
            <w:vAlign w:val="bottom"/>
            <w:shd w:val="clear" w:color="auto" w:fill="CCEEFF"/>
          </w:tcPr>
          <w:p>
            <w:pPr>
              <w:jc w:val="right"/>
              <w:ind w:right="257"/>
              <w:spacing w:after="0"/>
              <w:rPr>
                <w:sz w:val="20"/>
                <w:szCs w:val="20"/>
                <w:color w:val="auto"/>
              </w:rPr>
            </w:pPr>
            <w:r>
              <w:rPr>
                <w:rFonts w:ascii="Arial" w:cs="Arial" w:eastAsia="Arial" w:hAnsi="Arial"/>
                <w:sz w:val="18"/>
                <w:szCs w:val="18"/>
                <w:b w:val="1"/>
                <w:bCs w:val="1"/>
                <w:color w:val="auto"/>
              </w:rPr>
              <w:t>25</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1,131</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w:t>
            </w: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recent years we have consolidated our supply chain network to utilize existing distribution centers (“DCs”) to meet the needs of both our retail stores and our North American Business Solutions customers. See the North American supply chain discussion below for additional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Business Solutions Division</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North American Business Solutions Division sells nationally branded and our own brand office supplies, technology products, furniture and services by means of a dedicated sales force, through catalogs and electronically through our internet sites. We strive to ensure that our customers’ needs are satisfied through various channel offerings. Our direct business is tailored to serve small- to medium-sized customers. Our direct customers can order products from our catalogs, by phone or through our public web sites (www.officedepot.com), including our public web site devoted to technology products (www.techdepot.com).</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We use catalogs and the internet to market directly to both existing and prospective customers. Large catalogs with our full listing of products are typically distributed annually and supplemented periodically with focused offerings. Prospecting catalogs with special offers designed to attract new customers also are mailed at certain intervals. In addition, specialty and promotional catalogs may be delivered more frequently to selected customers based on their past or potential future purchases. We also produce a Green Book</w:t>
      </w:r>
      <w:r>
        <w:rPr>
          <w:rFonts w:ascii="Arial" w:cs="Arial" w:eastAsia="Arial" w:hAnsi="Arial"/>
          <w:sz w:val="10"/>
          <w:szCs w:val="10"/>
          <w:color w:val="auto"/>
        </w:rPr>
        <w:t>®</w:t>
      </w:r>
      <w:r>
        <w:rPr>
          <w:rFonts w:ascii="Arial" w:cs="Arial" w:eastAsia="Arial" w:hAnsi="Arial"/>
          <w:sz w:val="15"/>
          <w:szCs w:val="15"/>
          <w:color w:val="auto"/>
        </w:rPr>
        <w:t xml:space="preserve"> catalog, which features products that are recyclable, energy efficient, or otherwise have a reduced impact on the environment. We continually evaluate our catalog offerings for efficiency and effectiveness at generating incremental revenues. Products purchased through our catalogs and over the internet are fulfilled through our North American Supply Chain from DCs throughout the U.S. and occasionally through wholesalers.</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contract business employs a dedicated sales force that services the office supply needs of predominantly medium-sized to large customers. We believe sales representatives contribute to customer loyalty by building relationships with customers and providing information, business tools and problem-solving solutions to them. We offer contract customers the convenience of shopping on dedicated web sites and in our retail locations, while honoring their contract pricing in lieu of retail pricing. We also use an inside sales organization that is staffed by Office Depot employees who support select existing and new small business customers who prefer or require a more personalized experience, primarily by telephone. This function, previously outsourced, was brought back in house at our new inside sales office in Austin, Texas in 2012. Sales to our contract customers that are fulfilled at retail locations are included in the results of our North American Retail Division. Part of our contract business is with various local, state and national governmental agencies. We also enter into agreements with consortiums of governmental and non-profit entities for non-exclusive buying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Supply Chain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operates a network of DCs, crossdock, and combination facilities across the United States. In prior years, retail stores were largely replenished through our crossdock flow-through facilities where bulk merchandise was sorted for distribution and shipped to the requesting stores about three times per week. Based on our supply chain consolidation, we closed six crossdock facilities in 2009, three in 2010, and one during 2011. The crossdock function has been transitioned to the existing DCs within the same market. These combination facilities, which share real estate, technology, labor costs and inventory, satisfy the needs of both retail stores and delivery customers. Costs are allocated to the North American Retail Division and North American Business Solutions Division based on the relative services provided. Benefits of this consolidation include improved inventory management and greater operational efficiency, as well as improved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Crossdock facility activity for the last three years has been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jc w:val="center"/>
              <w:ind w:left="207"/>
              <w:spacing w:after="0"/>
              <w:rPr>
                <w:sz w:val="20"/>
                <w:szCs w:val="20"/>
                <w:color w:val="auto"/>
              </w:rPr>
            </w:pPr>
            <w:r>
              <w:rPr>
                <w:rFonts w:ascii="Arial" w:cs="Arial" w:eastAsia="Arial" w:hAnsi="Arial"/>
                <w:sz w:val="14"/>
                <w:szCs w:val="14"/>
                <w:color w:val="auto"/>
                <w:w w:val="84"/>
              </w:rPr>
              <w:t>Open at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color w:val="auto"/>
              </w:rPr>
              <w:t>Open at</w:t>
            </w:r>
          </w:p>
        </w:tc>
      </w:tr>
      <w:tr>
        <w:trPr>
          <w:trHeight w:val="149"/>
        </w:trPr>
        <w:tc>
          <w:tcPr>
            <w:tcW w:w="2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40" w:type="dxa"/>
            <w:vAlign w:val="bottom"/>
          </w:tcPr>
          <w:p>
            <w:pPr>
              <w:jc w:val="center"/>
              <w:ind w:left="187"/>
              <w:spacing w:after="0" w:line="149" w:lineRule="exact"/>
              <w:rPr>
                <w:sz w:val="20"/>
                <w:szCs w:val="20"/>
                <w:color w:val="auto"/>
              </w:rPr>
            </w:pPr>
            <w:r>
              <w:rPr>
                <w:rFonts w:ascii="Arial" w:cs="Arial" w:eastAsia="Arial" w:hAnsi="Arial"/>
                <w:sz w:val="14"/>
                <w:szCs w:val="14"/>
                <w:color w:val="auto"/>
                <w:w w:val="89"/>
              </w:rPr>
              <w:t>Beginning</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right"/>
              <w:ind w:right="162"/>
              <w:spacing w:after="0" w:line="149" w:lineRule="exact"/>
              <w:rPr>
                <w:sz w:val="20"/>
                <w:szCs w:val="20"/>
                <w:color w:val="auto"/>
              </w:rPr>
            </w:pPr>
            <w:r>
              <w:rPr>
                <w:rFonts w:ascii="Arial" w:cs="Arial" w:eastAsia="Arial" w:hAnsi="Arial"/>
                <w:sz w:val="14"/>
                <w:szCs w:val="14"/>
                <w:color w:val="auto"/>
              </w:rPr>
              <w:t>End</w:t>
            </w:r>
          </w:p>
        </w:tc>
      </w:tr>
      <w:tr>
        <w:trPr>
          <w:trHeight w:val="173"/>
        </w:trPr>
        <w:tc>
          <w:tcPr>
            <w:tcW w:w="278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color w:val="auto"/>
                <w:w w:val="89"/>
              </w:rPr>
              <w:t>of Period</w:t>
            </w:r>
          </w:p>
        </w:tc>
        <w:tc>
          <w:tcPr>
            <w:tcW w:w="11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Opened</w:t>
            </w: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Closed</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of Period</w:t>
            </w:r>
          </w:p>
        </w:tc>
      </w:tr>
      <w:tr>
        <w:trPr>
          <w:trHeight w:val="210"/>
        </w:trPr>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29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87"/>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2010</w:t>
            </w:r>
          </w:p>
        </w:tc>
        <w:tc>
          <w:tcPr>
            <w:tcW w:w="4520" w:type="dxa"/>
            <w:vAlign w:val="bottom"/>
            <w:gridSpan w:val="2"/>
          </w:tcPr>
          <w:p>
            <w:pPr>
              <w:jc w:val="right"/>
              <w:ind w:right="287"/>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3</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52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color w:val="auto"/>
              </w:rPr>
              <w:t>3</w:t>
            </w:r>
          </w:p>
        </w:tc>
        <w:tc>
          <w:tcPr>
            <w:tcW w:w="1160" w:type="dxa"/>
            <w:vAlign w:val="bottom"/>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b w:val="1"/>
                <w:bCs w:val="1"/>
                <w:color w:val="auto"/>
              </w:rPr>
              <w:t>1</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w:t>
            </w:r>
          </w:p>
        </w:tc>
      </w:tr>
      <w:tr>
        <w:trPr>
          <w:trHeight w:val="363"/>
        </w:trPr>
        <w:tc>
          <w:tcPr>
            <w:tcW w:w="2780" w:type="dxa"/>
            <w:vAlign w:val="bottom"/>
          </w:tcPr>
          <w:p>
            <w:pPr>
              <w:spacing w:after="0"/>
              <w:rPr>
                <w:sz w:val="24"/>
                <w:szCs w:val="24"/>
                <w:color w:val="auto"/>
              </w:rPr>
            </w:pPr>
          </w:p>
        </w:tc>
        <w:tc>
          <w:tcPr>
            <w:tcW w:w="298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DC activity for the last three years has been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540" w:type="dxa"/>
            <w:vAlign w:val="bottom"/>
          </w:tcPr>
          <w:p>
            <w:pPr>
              <w:jc w:val="right"/>
              <w:ind w:right="342"/>
              <w:spacing w:after="0"/>
              <w:rPr>
                <w:sz w:val="20"/>
                <w:szCs w:val="20"/>
                <w:color w:val="auto"/>
              </w:rPr>
            </w:pPr>
            <w:r>
              <w:rPr>
                <w:rFonts w:ascii="Arial" w:cs="Arial" w:eastAsia="Arial" w:hAnsi="Arial"/>
                <w:sz w:val="14"/>
                <w:szCs w:val="14"/>
                <w:color w:val="auto"/>
              </w:rPr>
              <w:t>Open at</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color w:val="auto"/>
              </w:rPr>
              <w:t>Open at</w:t>
            </w:r>
          </w:p>
        </w:tc>
      </w:tr>
      <w:tr>
        <w:trPr>
          <w:trHeight w:val="149"/>
        </w:trPr>
        <w:tc>
          <w:tcPr>
            <w:tcW w:w="5640" w:type="dxa"/>
            <w:vAlign w:val="bottom"/>
          </w:tcPr>
          <w:p>
            <w:pPr>
              <w:spacing w:after="0"/>
              <w:rPr>
                <w:sz w:val="12"/>
                <w:szCs w:val="12"/>
                <w:color w:val="auto"/>
              </w:rPr>
            </w:pPr>
          </w:p>
        </w:tc>
        <w:tc>
          <w:tcPr>
            <w:tcW w:w="1540" w:type="dxa"/>
            <w:vAlign w:val="bottom"/>
          </w:tcPr>
          <w:p>
            <w:pPr>
              <w:jc w:val="right"/>
              <w:ind w:right="282"/>
              <w:spacing w:after="0" w:line="149" w:lineRule="exact"/>
              <w:rPr>
                <w:sz w:val="20"/>
                <w:szCs w:val="20"/>
                <w:color w:val="auto"/>
              </w:rPr>
            </w:pPr>
            <w:r>
              <w:rPr>
                <w:rFonts w:ascii="Arial" w:cs="Arial" w:eastAsia="Arial" w:hAnsi="Arial"/>
                <w:sz w:val="14"/>
                <w:szCs w:val="14"/>
                <w:color w:val="auto"/>
              </w:rPr>
              <w:t>Beginning</w:t>
            </w:r>
          </w:p>
        </w:tc>
        <w:tc>
          <w:tcPr>
            <w:tcW w:w="1240" w:type="dxa"/>
            <w:vAlign w:val="bottom"/>
          </w:tcPr>
          <w:p>
            <w:pPr>
              <w:jc w:val="right"/>
              <w:ind w:right="320"/>
              <w:spacing w:after="0" w:line="149" w:lineRule="exact"/>
              <w:rPr>
                <w:sz w:val="20"/>
                <w:szCs w:val="20"/>
                <w:color w:val="auto"/>
              </w:rPr>
            </w:pPr>
            <w:r>
              <w:rPr>
                <w:rFonts w:ascii="Arial" w:cs="Arial" w:eastAsia="Arial" w:hAnsi="Arial"/>
                <w:sz w:val="14"/>
                <w:szCs w:val="14"/>
                <w:color w:val="auto"/>
              </w:rPr>
              <w:t>Opened/</w:t>
            </w:r>
          </w:p>
        </w:tc>
        <w:tc>
          <w:tcPr>
            <w:tcW w:w="112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Closed/</w:t>
            </w:r>
          </w:p>
        </w:tc>
        <w:tc>
          <w:tcPr>
            <w:tcW w:w="960" w:type="dxa"/>
            <w:vAlign w:val="bottom"/>
          </w:tcPr>
          <w:p>
            <w:pPr>
              <w:jc w:val="right"/>
              <w:ind w:right="162"/>
              <w:spacing w:after="0" w:line="149" w:lineRule="exact"/>
              <w:rPr>
                <w:sz w:val="20"/>
                <w:szCs w:val="20"/>
                <w:color w:val="auto"/>
              </w:rPr>
            </w:pPr>
            <w:r>
              <w:rPr>
                <w:rFonts w:ascii="Arial" w:cs="Arial" w:eastAsia="Arial" w:hAnsi="Arial"/>
                <w:sz w:val="14"/>
                <w:szCs w:val="14"/>
                <w:color w:val="auto"/>
              </w:rPr>
              <w:t>End</w:t>
            </w:r>
          </w:p>
        </w:tc>
      </w:tr>
      <w:tr>
        <w:trPr>
          <w:trHeight w:val="173"/>
        </w:trPr>
        <w:tc>
          <w:tcPr>
            <w:tcW w:w="564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of Period</w:t>
            </w:r>
          </w:p>
        </w:tc>
        <w:tc>
          <w:tcPr>
            <w:tcW w:w="12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Acquired</w:t>
            </w: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Sold</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of Period</w:t>
            </w:r>
          </w:p>
        </w:tc>
      </w:tr>
      <w:tr>
        <w:trPr>
          <w:trHeight w:val="210"/>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154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2010</w:t>
            </w:r>
          </w:p>
        </w:tc>
        <w:tc>
          <w:tcPr>
            <w:tcW w:w="1540" w:type="dxa"/>
            <w:vAlign w:val="bottom"/>
          </w:tcPr>
          <w:p>
            <w:pPr>
              <w:jc w:val="right"/>
              <w:ind w:right="282"/>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28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540" w:type="dxa"/>
            <w:vAlign w:val="bottom"/>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13</w:t>
            </w: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13</w:t>
            </w:r>
          </w:p>
        </w:tc>
      </w:tr>
    </w:tbl>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Inventory is held in our DCs at levels we believe sufficient to meet current and anticipated customer needs. We utilize processes to evaluate the appropriate timing and quantity of reordering with the objective of controlling our investment in inventory, while at the same time ensuring customer satisfaction. Certain purchases are sent directly from the manufacturer to our customers. Some supply chain facilities and some retail locations also house sales offices and administrative offices supporting our contract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out-bound delivery and our inbound direct import operations are currently provided by third-party carriers.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sales and marketing efforts have similarities between the North American Business Solutions Division and the International Division, those topics are addressed separately after the three segment discussions, though they are integral to understanding the processes and management of these Divisions. Also, the Merchandising section below provides additional product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Division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2011, Office Depot sold to customers in 60 countries throughout North America, Europe, Asia and Latin America. We operate wholly-owned entities, majority-owned entities or participate in other ventures covering 41 countries and have alliances in an additional 19 countries. The Merchandising section below provides information on product offerings throughout the company. International Division operates separate regional headquarters for Europe in The Netherlands and for Asia in Hong Kong.</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International Division sells office products and services through direct mail catalogs, contract sales forces, internet sites and retail stores, using a mix of company-owned operations, joint ventures, licensing and franchise agreements, alliances and other arrangements. We maintain DCs and call centers throughout Europe and Asia to support these operations. Currently, we have catalog offerings in 13 countries outside of North America and operate more than 40 separate public web sites in the International Division. At the end of 2011, the International Division operated, through wholly-owned or majority-owned entities, 131 retail stores in France, Hungary, South Korea and Sweden. In addition, we participate under licensing and merchandise arrangements in South Korea, Thailand, Israel, Japan and the Middle East. Following a strategic review of the business in late 2008, we closed our retail operations in Japan during 2009. During 2010, we sold the remaining operating entity in Japan as well as the operating entity in Israel and entered into Office Depot licensing agreements with the respective buyers for continued presence in those markets. During 2011, we acquired additional operations in Sweden, adding customers to both the contract and retail distribution channels.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1994, we have participated in a joint venture selling office products and services in Mexico and Central and South America. In recent years, this venture, Office Depot de Mexico, has grown in size and scope and now includes 232 retail locations in Mexico, Colombia, Costa Rica, El Salvador, Guatemala, Honduras, and Panama, as well as call centers and DCs to support the delivery business in certain areas. Because we participate equally in this business with a partner, we account for the activity under the equity method and venture sales of approximately $1,139 million in 2011 are neither reflected in our revenues nor in our consolidated retail comparable store statistics. Our portion of venture results is included in Miscellaneous income, net in the Consolidated Statements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2010, we entered into an amended shareholders’ agreement related to our venture in India such that control and ownership is now equally shared. Accordingly, we deconsolidated the assets and liabilities of this entity from the 2010 year end balance sheet and now account for this investment under the equity method.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Including company-owned operations, joint ventures, licensing and franchise agreements we sell office products through 546 retail stores outside the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Division store and DC operations are summarized below (includes only wholly-owned and majority-owned entities):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4"/>
                <w:szCs w:val="14"/>
                <w:color w:val="auto"/>
              </w:rPr>
              <w:t>Office Supply Stores</w:t>
            </w:r>
          </w:p>
        </w:tc>
        <w:tc>
          <w:tcPr>
            <w:tcW w:w="940" w:type="dxa"/>
            <w:vAlign w:val="bottom"/>
            <w:tcBorders>
              <w:bottom w:val="single" w:sz="8" w:color="auto"/>
            </w:tcBorders>
          </w:tcPr>
          <w:p>
            <w:pPr>
              <w:spacing w:after="0"/>
              <w:rPr>
                <w:sz w:val="14"/>
                <w:szCs w:val="14"/>
                <w:color w:val="auto"/>
              </w:rPr>
            </w:pPr>
          </w:p>
        </w:tc>
      </w:tr>
      <w:tr>
        <w:trPr>
          <w:trHeight w:val="131"/>
        </w:trPr>
        <w:tc>
          <w:tcPr>
            <w:tcW w:w="4740" w:type="dxa"/>
            <w:vAlign w:val="bottom"/>
          </w:tcPr>
          <w:p>
            <w:pPr>
              <w:spacing w:after="0"/>
              <w:rPr>
                <w:sz w:val="11"/>
                <w:szCs w:val="11"/>
                <w:color w:val="auto"/>
              </w:rPr>
            </w:pPr>
          </w:p>
        </w:tc>
        <w:tc>
          <w:tcPr>
            <w:tcW w:w="1720" w:type="dxa"/>
            <w:vAlign w:val="bottom"/>
          </w:tcPr>
          <w:p>
            <w:pPr>
              <w:jc w:val="center"/>
              <w:ind w:left="222"/>
              <w:spacing w:after="0" w:line="131" w:lineRule="exact"/>
              <w:rPr>
                <w:sz w:val="20"/>
                <w:szCs w:val="20"/>
                <w:color w:val="auto"/>
              </w:rPr>
            </w:pPr>
            <w:r>
              <w:rPr>
                <w:rFonts w:ascii="Arial" w:cs="Arial" w:eastAsia="Arial" w:hAnsi="Arial"/>
                <w:sz w:val="14"/>
                <w:szCs w:val="14"/>
                <w:color w:val="auto"/>
                <w:w w:val="84"/>
              </w:rPr>
              <w:t>Open at</w:t>
            </w:r>
          </w:p>
        </w:tc>
        <w:tc>
          <w:tcPr>
            <w:tcW w:w="1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40" w:type="dxa"/>
            <w:vAlign w:val="bottom"/>
          </w:tcPr>
          <w:p>
            <w:pPr>
              <w:jc w:val="center"/>
              <w:ind w:left="162"/>
              <w:spacing w:after="0" w:line="131" w:lineRule="exact"/>
              <w:rPr>
                <w:sz w:val="20"/>
                <w:szCs w:val="20"/>
                <w:color w:val="auto"/>
              </w:rPr>
            </w:pPr>
            <w:r>
              <w:rPr>
                <w:rFonts w:ascii="Arial" w:cs="Arial" w:eastAsia="Arial" w:hAnsi="Arial"/>
                <w:sz w:val="14"/>
                <w:szCs w:val="14"/>
                <w:color w:val="auto"/>
                <w:w w:val="84"/>
              </w:rPr>
              <w:t>Open at</w:t>
            </w:r>
          </w:p>
        </w:tc>
      </w:tr>
      <w:tr>
        <w:trPr>
          <w:trHeight w:val="149"/>
        </w:trPr>
        <w:tc>
          <w:tcPr>
            <w:tcW w:w="4740" w:type="dxa"/>
            <w:vAlign w:val="bottom"/>
          </w:tcPr>
          <w:p>
            <w:pPr>
              <w:spacing w:after="0"/>
              <w:rPr>
                <w:sz w:val="12"/>
                <w:szCs w:val="12"/>
                <w:color w:val="auto"/>
              </w:rPr>
            </w:pPr>
          </w:p>
        </w:tc>
        <w:tc>
          <w:tcPr>
            <w:tcW w:w="1720" w:type="dxa"/>
            <w:vAlign w:val="bottom"/>
          </w:tcPr>
          <w:p>
            <w:pPr>
              <w:jc w:val="center"/>
              <w:ind w:left="202"/>
              <w:spacing w:after="0" w:line="149" w:lineRule="exact"/>
              <w:rPr>
                <w:sz w:val="20"/>
                <w:szCs w:val="20"/>
                <w:color w:val="auto"/>
              </w:rPr>
            </w:pPr>
            <w:r>
              <w:rPr>
                <w:rFonts w:ascii="Arial" w:cs="Arial" w:eastAsia="Arial" w:hAnsi="Arial"/>
                <w:sz w:val="14"/>
                <w:szCs w:val="14"/>
                <w:color w:val="auto"/>
                <w:w w:val="89"/>
              </w:rPr>
              <w:t>Beginning</w:t>
            </w:r>
          </w:p>
        </w:tc>
        <w:tc>
          <w:tcPr>
            <w:tcW w:w="1400" w:type="dxa"/>
            <w:vAlign w:val="bottom"/>
          </w:tcPr>
          <w:p>
            <w:pPr>
              <w:jc w:val="right"/>
              <w:ind w:right="422"/>
              <w:spacing w:after="0" w:line="149" w:lineRule="exact"/>
              <w:rPr>
                <w:sz w:val="20"/>
                <w:szCs w:val="20"/>
                <w:color w:val="auto"/>
              </w:rPr>
            </w:pPr>
            <w:r>
              <w:rPr>
                <w:rFonts w:ascii="Arial" w:cs="Arial" w:eastAsia="Arial" w:hAnsi="Arial"/>
                <w:sz w:val="14"/>
                <w:szCs w:val="14"/>
                <w:color w:val="auto"/>
              </w:rPr>
              <w:t>Opened/</w:t>
            </w:r>
          </w:p>
        </w:tc>
        <w:tc>
          <w:tcPr>
            <w:tcW w:w="1700" w:type="dxa"/>
            <w:vAlign w:val="bottom"/>
          </w:tcPr>
          <w:p>
            <w:pPr>
              <w:jc w:val="right"/>
              <w:ind w:right="620"/>
              <w:spacing w:after="0" w:line="149" w:lineRule="exact"/>
              <w:rPr>
                <w:sz w:val="20"/>
                <w:szCs w:val="20"/>
                <w:color w:val="auto"/>
              </w:rPr>
            </w:pPr>
            <w:r>
              <w:rPr>
                <w:rFonts w:ascii="Arial" w:cs="Arial" w:eastAsia="Arial" w:hAnsi="Arial"/>
                <w:sz w:val="14"/>
                <w:szCs w:val="14"/>
                <w:color w:val="auto"/>
              </w:rPr>
              <w:t>Closed/</w:t>
            </w:r>
          </w:p>
        </w:tc>
        <w:tc>
          <w:tcPr>
            <w:tcW w:w="940" w:type="dxa"/>
            <w:vAlign w:val="bottom"/>
          </w:tcPr>
          <w:p>
            <w:pPr>
              <w:jc w:val="center"/>
              <w:ind w:left="162"/>
              <w:spacing w:after="0" w:line="149" w:lineRule="exact"/>
              <w:rPr>
                <w:sz w:val="20"/>
                <w:szCs w:val="20"/>
                <w:color w:val="auto"/>
              </w:rPr>
            </w:pPr>
            <w:r>
              <w:rPr>
                <w:rFonts w:ascii="Arial" w:cs="Arial" w:eastAsia="Arial" w:hAnsi="Arial"/>
                <w:sz w:val="14"/>
                <w:szCs w:val="14"/>
                <w:color w:val="auto"/>
                <w:w w:val="88"/>
              </w:rPr>
              <w:t>End</w:t>
            </w:r>
          </w:p>
        </w:tc>
      </w:tr>
      <w:tr>
        <w:trPr>
          <w:trHeight w:val="173"/>
        </w:trPr>
        <w:tc>
          <w:tcPr>
            <w:tcW w:w="47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color w:val="auto"/>
                <w:w w:val="89"/>
              </w:rPr>
              <w:t>of Period</w:t>
            </w: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Acquired</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Deconsolidated</w:t>
            </w:r>
          </w:p>
        </w:tc>
        <w:tc>
          <w:tcPr>
            <w:tcW w:w="94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color w:val="auto"/>
                <w:w w:val="89"/>
              </w:rPr>
              <w:t>of Period</w:t>
            </w: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17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162</w:t>
            </w:r>
          </w:p>
        </w:tc>
        <w:tc>
          <w:tcPr>
            <w:tcW w:w="140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4</w:t>
            </w:r>
          </w:p>
        </w:tc>
        <w:tc>
          <w:tcPr>
            <w:tcW w:w="170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2010</w:t>
            </w:r>
          </w:p>
        </w:tc>
        <w:tc>
          <w:tcPr>
            <w:tcW w:w="1720" w:type="dxa"/>
            <w:vAlign w:val="bottom"/>
          </w:tcPr>
          <w:p>
            <w:pPr>
              <w:jc w:val="right"/>
              <w:ind w:right="342"/>
              <w:spacing w:after="0"/>
              <w:rPr>
                <w:sz w:val="20"/>
                <w:szCs w:val="20"/>
                <w:color w:val="auto"/>
              </w:rPr>
            </w:pPr>
            <w:r>
              <w:rPr>
                <w:rFonts w:ascii="Arial" w:cs="Arial" w:eastAsia="Arial" w:hAnsi="Arial"/>
                <w:sz w:val="18"/>
                <w:szCs w:val="18"/>
                <w:color w:val="auto"/>
              </w:rPr>
              <w:t>137</w:t>
            </w:r>
          </w:p>
        </w:tc>
        <w:tc>
          <w:tcPr>
            <w:tcW w:w="1400" w:type="dxa"/>
            <w:vAlign w:val="bottom"/>
          </w:tcPr>
          <w:p>
            <w:pPr>
              <w:jc w:val="right"/>
              <w:ind w:right="402"/>
              <w:spacing w:after="0"/>
              <w:rPr>
                <w:sz w:val="20"/>
                <w:szCs w:val="20"/>
                <w:color w:val="auto"/>
              </w:rPr>
            </w:pPr>
            <w:r>
              <w:rPr>
                <w:rFonts w:ascii="Arial" w:cs="Arial" w:eastAsia="Arial" w:hAnsi="Arial"/>
                <w:sz w:val="18"/>
                <w:szCs w:val="18"/>
                <w:color w:val="auto"/>
              </w:rPr>
              <w:t>7</w:t>
            </w:r>
          </w:p>
        </w:tc>
        <w:tc>
          <w:tcPr>
            <w:tcW w:w="1700" w:type="dxa"/>
            <w:vAlign w:val="bottom"/>
          </w:tcPr>
          <w:p>
            <w:pPr>
              <w:jc w:val="right"/>
              <w:ind w:right="280"/>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(1)</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97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720" w:type="dxa"/>
            <w:vAlign w:val="bottom"/>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97</w:t>
            </w:r>
          </w:p>
        </w:tc>
        <w:tc>
          <w:tcPr>
            <w:tcW w:w="1400" w:type="dxa"/>
            <w:vAlign w:val="bottom"/>
            <w:shd w:val="clear" w:color="auto" w:fill="CCEEFF"/>
          </w:tcPr>
          <w:p>
            <w:pPr>
              <w:jc w:val="right"/>
              <w:ind w:right="262"/>
              <w:spacing w:after="0"/>
              <w:rPr>
                <w:sz w:val="20"/>
                <w:szCs w:val="20"/>
                <w:color w:val="auto"/>
              </w:rPr>
            </w:pPr>
            <w:r>
              <w:rPr>
                <w:rFonts w:ascii="Arial" w:cs="Arial" w:eastAsia="Arial" w:hAnsi="Arial"/>
                <w:sz w:val="18"/>
                <w:szCs w:val="18"/>
                <w:b w:val="1"/>
                <w:bCs w:val="1"/>
                <w:color w:val="auto"/>
              </w:rPr>
              <w:t>43</w:t>
            </w:r>
            <w:r>
              <w:rPr>
                <w:rFonts w:ascii="Arial" w:cs="Arial" w:eastAsia="Arial" w:hAnsi="Arial"/>
                <w:sz w:val="11"/>
                <w:szCs w:val="11"/>
                <w:b w:val="1"/>
                <w:bCs w:val="1"/>
                <w:color w:val="auto"/>
              </w:rPr>
              <w:t>(2)</w:t>
            </w:r>
          </w:p>
        </w:tc>
        <w:tc>
          <w:tcPr>
            <w:tcW w:w="1700" w:type="dxa"/>
            <w:vAlign w:val="bottom"/>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45 of these stores relate to the deconsolidation of Office Depot Israel.</w:t>
      </w:r>
    </w:p>
    <w:p>
      <w:pPr>
        <w:spacing w:after="0" w:line="49" w:lineRule="exact"/>
        <w:rPr>
          <w:rFonts w:ascii="Arial" w:cs="Arial" w:eastAsia="Arial" w:hAnsi="Arial"/>
          <w:sz w:val="22"/>
          <w:szCs w:val="22"/>
          <w:color w:val="auto"/>
          <w:vertAlign w:val="superscript"/>
        </w:rPr>
      </w:pPr>
    </w:p>
    <w:p>
      <w:pPr>
        <w:ind w:left="460" w:hanging="452"/>
        <w:spacing w:after="0" w:line="235"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40 of these stores relate to the acquisition of an entity in Sweden.</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color w:val="auto"/>
                <w:w w:val="89"/>
              </w:rPr>
              <w:t>Distribution Centers</w:t>
            </w:r>
          </w:p>
        </w:tc>
        <w:tc>
          <w:tcPr>
            <w:tcW w:w="980" w:type="dxa"/>
            <w:vAlign w:val="bottom"/>
            <w:tcBorders>
              <w:bottom w:val="single" w:sz="8" w:color="auto"/>
            </w:tcBorders>
          </w:tcPr>
          <w:p>
            <w:pPr>
              <w:spacing w:after="0"/>
              <w:rPr>
                <w:sz w:val="14"/>
                <w:szCs w:val="14"/>
                <w:color w:val="auto"/>
              </w:rPr>
            </w:pPr>
          </w:p>
        </w:tc>
      </w:tr>
      <w:tr>
        <w:trPr>
          <w:trHeight w:val="131"/>
        </w:trPr>
        <w:tc>
          <w:tcPr>
            <w:tcW w:w="4460" w:type="dxa"/>
            <w:vAlign w:val="bottom"/>
          </w:tcPr>
          <w:p>
            <w:pPr>
              <w:spacing w:after="0"/>
              <w:rPr>
                <w:sz w:val="11"/>
                <w:szCs w:val="11"/>
                <w:color w:val="auto"/>
              </w:rPr>
            </w:pPr>
          </w:p>
        </w:tc>
        <w:tc>
          <w:tcPr>
            <w:tcW w:w="1820" w:type="dxa"/>
            <w:vAlign w:val="bottom"/>
          </w:tcPr>
          <w:p>
            <w:pPr>
              <w:jc w:val="right"/>
              <w:ind w:right="442"/>
              <w:spacing w:after="0" w:line="131" w:lineRule="exact"/>
              <w:rPr>
                <w:sz w:val="20"/>
                <w:szCs w:val="20"/>
                <w:color w:val="auto"/>
              </w:rPr>
            </w:pPr>
            <w:r>
              <w:rPr>
                <w:rFonts w:ascii="Arial" w:cs="Arial" w:eastAsia="Arial" w:hAnsi="Arial"/>
                <w:sz w:val="14"/>
                <w:szCs w:val="14"/>
                <w:color w:val="auto"/>
              </w:rPr>
              <w:t>Open at</w:t>
            </w:r>
          </w:p>
        </w:tc>
        <w:tc>
          <w:tcPr>
            <w:tcW w:w="9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80" w:type="dxa"/>
            <w:vAlign w:val="bottom"/>
          </w:tcPr>
          <w:p>
            <w:pPr>
              <w:jc w:val="right"/>
              <w:ind w:right="62"/>
              <w:spacing w:after="0" w:line="131" w:lineRule="exact"/>
              <w:rPr>
                <w:sz w:val="20"/>
                <w:szCs w:val="20"/>
                <w:color w:val="auto"/>
              </w:rPr>
            </w:pPr>
            <w:r>
              <w:rPr>
                <w:rFonts w:ascii="Arial" w:cs="Arial" w:eastAsia="Arial" w:hAnsi="Arial"/>
                <w:sz w:val="14"/>
                <w:szCs w:val="14"/>
                <w:color w:val="auto"/>
              </w:rPr>
              <w:t>Open at</w:t>
            </w:r>
          </w:p>
        </w:tc>
      </w:tr>
      <w:tr>
        <w:trPr>
          <w:trHeight w:val="149"/>
        </w:trPr>
        <w:tc>
          <w:tcPr>
            <w:tcW w:w="4460" w:type="dxa"/>
            <w:vAlign w:val="bottom"/>
          </w:tcPr>
          <w:p>
            <w:pPr>
              <w:spacing w:after="0"/>
              <w:rPr>
                <w:sz w:val="12"/>
                <w:szCs w:val="12"/>
                <w:color w:val="auto"/>
              </w:rPr>
            </w:pPr>
          </w:p>
        </w:tc>
        <w:tc>
          <w:tcPr>
            <w:tcW w:w="1820" w:type="dxa"/>
            <w:vAlign w:val="bottom"/>
          </w:tcPr>
          <w:p>
            <w:pPr>
              <w:jc w:val="right"/>
              <w:ind w:right="382"/>
              <w:spacing w:after="0" w:line="149" w:lineRule="exact"/>
              <w:rPr>
                <w:sz w:val="20"/>
                <w:szCs w:val="20"/>
                <w:color w:val="auto"/>
              </w:rPr>
            </w:pPr>
            <w:r>
              <w:rPr>
                <w:rFonts w:ascii="Arial" w:cs="Arial" w:eastAsia="Arial" w:hAnsi="Arial"/>
                <w:sz w:val="14"/>
                <w:szCs w:val="14"/>
                <w:color w:val="auto"/>
              </w:rPr>
              <w:t>Beginning</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Opened/</w:t>
            </w:r>
          </w:p>
        </w:tc>
        <w:tc>
          <w:tcPr>
            <w:tcW w:w="2260" w:type="dxa"/>
            <w:vAlign w:val="bottom"/>
          </w:tcPr>
          <w:p>
            <w:pPr>
              <w:jc w:val="right"/>
              <w:ind w:right="662"/>
              <w:spacing w:after="0" w:line="149" w:lineRule="exact"/>
              <w:rPr>
                <w:sz w:val="20"/>
                <w:szCs w:val="20"/>
                <w:color w:val="auto"/>
              </w:rPr>
            </w:pPr>
            <w:r>
              <w:rPr>
                <w:rFonts w:ascii="Arial" w:cs="Arial" w:eastAsia="Arial" w:hAnsi="Arial"/>
                <w:sz w:val="14"/>
                <w:szCs w:val="14"/>
                <w:color w:val="auto"/>
              </w:rPr>
              <w:t>Closed/</w:t>
            </w:r>
          </w:p>
        </w:tc>
        <w:tc>
          <w:tcPr>
            <w:tcW w:w="980" w:type="dxa"/>
            <w:vAlign w:val="bottom"/>
          </w:tcPr>
          <w:p>
            <w:pPr>
              <w:jc w:val="right"/>
              <w:ind w:right="162"/>
              <w:spacing w:after="0" w:line="149" w:lineRule="exact"/>
              <w:rPr>
                <w:sz w:val="20"/>
                <w:szCs w:val="20"/>
                <w:color w:val="auto"/>
              </w:rPr>
            </w:pPr>
            <w:r>
              <w:rPr>
                <w:rFonts w:ascii="Arial" w:cs="Arial" w:eastAsia="Arial" w:hAnsi="Arial"/>
                <w:sz w:val="14"/>
                <w:szCs w:val="14"/>
                <w:color w:val="auto"/>
              </w:rPr>
              <w:t>End</w:t>
            </w:r>
          </w:p>
        </w:tc>
      </w:tr>
      <w:tr>
        <w:trPr>
          <w:trHeight w:val="173"/>
        </w:trPr>
        <w:tc>
          <w:tcPr>
            <w:tcW w:w="446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of Period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Acquired</w:t>
            </w:r>
          </w:p>
        </w:tc>
        <w:tc>
          <w:tcPr>
            <w:tcW w:w="22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Deconsolidated</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of Period</w:t>
            </w: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182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6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2010</w:t>
            </w:r>
          </w:p>
        </w:tc>
        <w:tc>
          <w:tcPr>
            <w:tcW w:w="1820" w:type="dxa"/>
            <w:vAlign w:val="bottom"/>
          </w:tcPr>
          <w:p>
            <w:pPr>
              <w:jc w:val="right"/>
              <w:ind w:right="382"/>
              <w:spacing w:after="0"/>
              <w:rPr>
                <w:sz w:val="20"/>
                <w:szCs w:val="20"/>
                <w:color w:val="auto"/>
              </w:rPr>
            </w:pPr>
            <w:r>
              <w:rPr>
                <w:rFonts w:ascii="Arial" w:cs="Arial" w:eastAsia="Arial" w:hAnsi="Arial"/>
                <w:sz w:val="18"/>
                <w:szCs w:val="18"/>
                <w:color w:val="auto"/>
              </w:rPr>
              <w:t>39</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60" w:type="dxa"/>
            <w:vAlign w:val="bottom"/>
          </w:tcPr>
          <w:p>
            <w:pPr>
              <w:jc w:val="right"/>
              <w:ind w:right="302"/>
              <w:spacing w:after="0"/>
              <w:rPr>
                <w:sz w:val="20"/>
                <w:szCs w:val="20"/>
                <w:color w:val="auto"/>
              </w:rPr>
            </w:pPr>
            <w:r>
              <w:rPr>
                <w:rFonts w:ascii="Arial" w:cs="Arial" w:eastAsia="Arial" w:hAnsi="Arial"/>
                <w:sz w:val="18"/>
                <w:szCs w:val="18"/>
                <w:color w:val="auto"/>
              </w:rPr>
              <w:t>14</w:t>
            </w:r>
            <w:r>
              <w:rPr>
                <w:rFonts w:ascii="Arial" w:cs="Arial" w:eastAsia="Arial" w:hAnsi="Arial"/>
                <w:sz w:val="11"/>
                <w:szCs w:val="11"/>
                <w:color w:val="auto"/>
              </w:rPr>
              <w:t>(3)</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26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820" w:type="dxa"/>
            <w:vAlign w:val="bottom"/>
            <w:shd w:val="clear" w:color="auto" w:fill="CCEEFF"/>
          </w:tcPr>
          <w:p>
            <w:pPr>
              <w:jc w:val="right"/>
              <w:ind w:right="382"/>
              <w:spacing w:after="0"/>
              <w:rPr>
                <w:sz w:val="20"/>
                <w:szCs w:val="20"/>
                <w:color w:val="auto"/>
              </w:rPr>
            </w:pPr>
            <w:r>
              <w:rPr>
                <w:rFonts w:ascii="Arial" w:cs="Arial" w:eastAsia="Arial" w:hAnsi="Arial"/>
                <w:sz w:val="18"/>
                <w:szCs w:val="18"/>
                <w:b w:val="1"/>
                <w:bCs w:val="1"/>
                <w:color w:val="auto"/>
              </w:rPr>
              <w:t>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60" w:type="dxa"/>
            <w:vAlign w:val="bottom"/>
            <w:shd w:val="clear" w:color="auto" w:fill="CCEEFF"/>
          </w:tcPr>
          <w:p>
            <w:pPr>
              <w:jc w:val="right"/>
              <w:ind w:right="442"/>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10 of these locations relate to the deconsolidation of Office Depot India.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merchandising strategy is to meet our customers’ needs by offering a broad selection of nationally branded office products, as well as our own brand products and services. Our selection of own brand products has increased in breadth and level of sophistication over time. We currently offer general office supplies, computer supplies, business machines and related supplies, and office furniture under various labels, including Office Depot®, Viking Office Products®, Foray®, and Ativa®.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company sales by product group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65.1%</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920" w:type="dxa"/>
            <w:vAlign w:val="bottom"/>
          </w:tcPr>
          <w:p>
            <w:pPr>
              <w:jc w:val="right"/>
              <w:ind w:right="156"/>
              <w:spacing w:after="0"/>
              <w:rPr>
                <w:sz w:val="20"/>
                <w:szCs w:val="20"/>
                <w:color w:val="auto"/>
              </w:rPr>
            </w:pPr>
            <w:r>
              <w:rPr>
                <w:rFonts w:ascii="Arial" w:cs="Arial" w:eastAsia="Arial" w:hAnsi="Arial"/>
                <w:sz w:val="18"/>
                <w:szCs w:val="18"/>
                <w:b w:val="1"/>
                <w:bCs w:val="1"/>
                <w:color w:val="auto"/>
              </w:rPr>
              <w:t>21.9%</w:t>
            </w:r>
          </w:p>
        </w:tc>
        <w:tc>
          <w:tcPr>
            <w:tcW w:w="1060" w:type="dxa"/>
            <w:vAlign w:val="bottom"/>
          </w:tcPr>
          <w:p>
            <w:pPr>
              <w:jc w:val="right"/>
              <w:ind w:right="176"/>
              <w:spacing w:after="0"/>
              <w:rPr>
                <w:sz w:val="20"/>
                <w:szCs w:val="20"/>
                <w:color w:val="auto"/>
              </w:rPr>
            </w:pPr>
            <w:r>
              <w:rPr>
                <w:rFonts w:ascii="Arial" w:cs="Arial" w:eastAsia="Arial" w:hAnsi="Arial"/>
                <w:sz w:val="18"/>
                <w:szCs w:val="18"/>
                <w:color w:val="auto"/>
              </w:rPr>
              <w:t>22.4%</w:t>
            </w: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other</w:t>
            </w:r>
          </w:p>
        </w:tc>
        <w:tc>
          <w:tcPr>
            <w:tcW w:w="9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13.0%</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100.0%</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values have been updated to conform to current year presentation.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classify our products into three categories: (1) supplies, (2) technology, and (3) furniture and other. The supplies category includes products such as paper, binders, writing instruments, school supplies, and ink and toner. The technology category includes products such as desktop and laptop computers, monitors, printers, cables, software, digital cameras, telephones, and wireless communications products. The furniture and other category includes products such as desks, chairs, luggage, sales in our copy and print centers, and other miscellaneous items.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buy substantially all of our merchandise directly from manufacturers and other primary suppliers, including direct sourcing of our own brand products from domestic and offshore sources. We also enter into arrangements with vendors that can lower our unit product costs if certain volume thresholds or other criteria are met. For additional discussion regarding these arrangements, see the Critical Accounting Policies section of MD&amp;A.</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separate merchandising functions in North America, Europe and Asia as well as in our joint ventures. Each group is responsible for selecting, purchasing and pricing merchandise as well as managing the product life cycle of our inventory. In recent years, we have increasingly used global offerings across all regions to further reduce our product cost while maintaining product quality.</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operate global sourcing offices in Shenzhen and Hangzhou, China, which allows us to take more direct control of our product sourcing, logistics and quality assurance. These offices consolidate our purchasing power with Asian factories and, in turn, help us to increase the scope of our own brand offerings.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marketing programs are designed to attract new customers and to drive frequency of customer visits to our stores and web sites. We regularly advertise in major newspapers in most of our North American markets. We also advertise through local and national radio, network and cable television advertising campaigns, and direct marketing efforts, such as the internet and social networking.</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customer loyalty programs that provide customers with rewards that can be applied against future Office Depot purchases or other incentives. These programs have provided us with valuable information enabling us to market more effectively to our customers. These programs may change in popularity in the future, and we may make alterations to them from time to time.</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perform periodic competitive pricing analyses to monitor each market, and prices are adjusted as necessary to adhere to our pricing philosophy and further our competitive positioning. We generally expect our everyday prices to be highly competitive with other resellers of office products.</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acquire new customers by selectively mailing specially designed catalogs and by making on-premises sales calls to prospective customers. We also make outbound sales calls using dedicated agents through our telephone account management program. We obtain the names of prospective customers in new and existing markets through the purchase of selected lists from outside marketing information services and other sources as well as through the use of a proprietary mailing list system. We also acquire customers through e-mail marketing campaigns and online affiliates. We are an official sponsor of NASCAR® and are currently designated NASCAR®’s official office products partner. No single customer in any of our segments accounts for more than 10% of our total sales.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our business to be only somewhat seasonal, with sales generally trending lower in the second quarter, following the “back-to-business” sales cycle in the first quarter and preceding the “back-to-school” sales cycle in the third quarter and the holiday sales cycle in the fourth quarter. Certain working capital components may build and recede during the year reflecting established selling cycles. Business cycles can and have impacted our operations and financial position when compared to other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 and Print</w:t>
      </w:r>
    </w:p>
    <w:p>
      <w:pPr>
        <w:spacing w:after="0" w:line="17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Our North American retail stores contain a Copy &amp; Print Depot</w:t>
      </w:r>
      <w:r>
        <w:rPr>
          <w:rFonts w:ascii="Arial" w:cs="Arial" w:eastAsia="Arial" w:hAnsi="Arial"/>
          <w:sz w:val="10"/>
          <w:szCs w:val="10"/>
          <w:color w:val="auto"/>
        </w:rPr>
        <w:t>TM</w:t>
      </w:r>
      <w:r>
        <w:rPr>
          <w:rFonts w:ascii="Arial" w:cs="Arial" w:eastAsia="Arial" w:hAnsi="Arial"/>
          <w:sz w:val="16"/>
          <w:szCs w:val="16"/>
          <w:color w:val="auto"/>
        </w:rPr>
        <w:t xml:space="preserve"> offering printing, reproduction, mailing, shipping, and other services. This includes Xerox Certified Print Specialist associates to assist with digital imaging and printing and shipping services through UPS and the U.S. Postal Service. In addition to the in-store locations, we operate nine regional print facilities, which support copy and print orders taken in our North American Retail and North American Business Solutions Divisions. We also offer copy and print services to our customers in Europe through our e-commerce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trademark registrations domestically and worldwide and have numerous other applications pending worldwide for the names “Office Depot”, “Viking”, “Ativa”, “Foray”, “Realspace”, and others. We consider the trademark for the Office Depot name the most significant trademark held by us because of its impact on market awareness across all of our businesses and on customers’ identification with us. As with all domestic trademarks, our trademark registrations in the United States are for a ten year period and are renewable every ten years, prior to their respective expirations, as long as the trademarks are used in the regular course of trade.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highly competitive environment in all three of our segments. We believe that we compete favorably on the basis of price, service, relationships and selection. We compete with office supply stores, wholesale clubs, discount stores, mass merchandisers, food and drug stores, computer and electronics superstores, internet-based companies and direct marketing companies. These companies, in varying degrees, compete with us in substantially all of our current markets.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office supply retail companies market similarly to us in terms of store format, pricing strategy, product selection and product availability in the markets where we operate, primarily those in the U.S. We anticipate that in the future we will face increased competition from these chains.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Internationally, we compete on a similar basis to North America. Outside of the U.S., we sell through contract and catalog channels in 17 countries and operate retail stores in four countries through wholly-owned or majority-owned entities. Additionally, our International Division provides office products and services in 41 countries through joint ventures, licensing and franchise agreements, cross-border transactions, alliances and other arrangements.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January 28, 2012, we had approximately 39,000 employees worldwide. Our workforce is largely non-union and our labor relations are generally good. In certain international locations, changes in staffing or work arrangements may need approval of local works councils or other bodies.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Activities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both a significant user and seller of paper products, we have developed environmental practices that are values-based and market-driven. Our environmental initiatives center on three guiding principles: (1) recycling and pollution reduction; (2) sustainable forest management; and (3) issue awareness and market development for environmentally preferable products. We offer thousands of different products containing recycled content, including from 35% to 100% post-consumer waste content paper and technology recycling services in our retail stores.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Office Depot continues to implement environmental programs in line with our stated environmental vision to “increasingly buy green, be green and sell green” – including environmental sensitivity in our packaging, operations and sales offerings. Our ‘Green’ retail store prototype design is based on our Austin, Texas store, which received a Leadership in Energy and Environmental Design (LEED) Gold Certification from the U.S. Green Building Council in December 2008. In 2010, it awarded our global headquarters in Boca Raton, Florida a LEED Gold Certification under the Operations and Maintenance rating system and we were the first office supplies retailer with a headquarters building certified under any of the LEED rating systems. Additional information on our green product offerings can be found at </w:t>
      </w:r>
      <w:r>
        <w:rPr>
          <w:rFonts w:ascii="Arial" w:cs="Arial" w:eastAsia="Arial" w:hAnsi="Arial"/>
          <w:sz w:val="18"/>
          <w:szCs w:val="18"/>
          <w:u w:val="single" w:color="auto"/>
          <w:color w:val="auto"/>
        </w:rPr>
        <w:t>www.officedepot.com/buygreen</w:t>
      </w:r>
      <w:r>
        <w:rPr>
          <w:rFonts w:ascii="Arial" w:cs="Arial" w:eastAsia="Arial" w:hAnsi="Arial"/>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maintain a web site at www.officedepot.com. We make available, free of charge, on the “Investor Relations” section of our web 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or furnish such materials to the U.S. Securities and Exchange Commission (“SEC”). In addition, the public may read and copy any of the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such as the company,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Additionally, our corporate governance materials, including governance guidelines; the charters of the Audit, Compensation, Finance, and Corporate Governance and Nominating Committees; and the code of ethical behavior may also be found under the “Investor Relations” section of our web site at </w:t>
      </w:r>
      <w:r>
        <w:rPr>
          <w:rFonts w:ascii="Arial" w:cs="Arial" w:eastAsia="Arial" w:hAnsi="Arial"/>
          <w:sz w:val="16"/>
          <w:szCs w:val="16"/>
          <w:u w:val="single" w:color="auto"/>
          <w:color w:val="auto"/>
        </w:rPr>
        <w:t>www.officedepot.com</w:t>
      </w:r>
      <w:r>
        <w:rPr>
          <w:rFonts w:ascii="Arial" w:cs="Arial" w:eastAsia="Arial" w:hAnsi="Arial"/>
          <w:sz w:val="16"/>
          <w:szCs w:val="16"/>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Neil R. Austrian — 72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Austrian has been Chairman and Chief Executive Officer since May 23, 2011 and he acted as Interim Chairman and Chief Executive Officer since November 1, 2010. Mr. Austrian has served as a Director since 1998. He also served as our Interim Chair and Chief Executive Officer from October 4, 2004 until March 11, 2005. Mr. Austrian served as President and Chief Operating Officer of the National Football League from April 1991 until December 1999. He was a Managing Director of Dillon, Read &amp; Co. Inc. from October 1987 until March 1991. Mr. Austrian served as a director of Viking Office Products from January 1988 until August 1998 when Office Depot merged with Viking Office Products. He also serves as a director of The DirecTV Group (formerly Hughes Electronics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Allison — Age: 54</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Allison was appointed Executive Vice President, Human Resources for Office Depot in July 2011. Mr. Allison joined Office Depot in September 2006 as Vice President, Human Resources. Prior to joining Office Depot, Mr. Allison served as Executive Vice President of Human Resources for Victoria’s Secret Direct from February, 2001 to September, 2005. Prior to Victoria’s Secret, he was Senior Vice President of Human Resources for Bank One and Senior Vice President and Director of Human Resources for National City Bank.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Farla Efros — Age: 39</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Ms. Efros was appointed as Executive Vice President and Chief Merchandising Officer for Office Depot in January 2012. Ms. Efros previously served as Interim Head of Merchandising for the company since July 2011. Prior to joining the company, Ms. Efros was a Senior Vice President for Retail Consulting Services at Price Waterhouse Coopers (PwC) from June 2009 to December 2011. Ms. Efros was a Partner with The Partnering Group Inc. from June 1999 to June 2009, where she consulted in the retail and consumer goods industries in key areas such as merchandising and marketing strategy, organization design, category management and assortment optimization, as well as change and transition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Elisa Garcia — Age: 54</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Ms. Garcia was appointed Executive Vice President, General Counsel and Corporate Secretary in July 2007 with overall responsibility for global legal and compliance matters and governmental relations. Prior to joining Office Depot, Ms. Garcia served as Executive Vice President, General Counsel and Corporate Secretary of Domino’s Pizza, Inc. from April 2000. Prior to joining Domino’s Pizza, Ms. Garcia served as Latin American Regional Counsel for Philip Morris International, and Corporate Counsel for GAF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Hutchens — Age: 46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Hutchens was appointed Senior Vice President and Controller in September 2008. Prior to assuming that position, Mr. Hutchens held the position of Senior Vice President of Finance, International Division since late 2006. Prior to joining the company, Mr. Hutchens served as Assistant Treasurer at Yum! Brands, Inc., from February 2005 to November 2006 and as General Auditor from November 2003 to February 2005. In addition, Mr. Hutchens served in a variety of senior management positions at Yum! from May 1996 to November 2003. Prior to joining Yum! Mr. Hutchens served in various management positions at Ford Motor Company, where he was employed until May 1996.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Newman — Age: 55</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Newman was appointed Executive Vice President, Chief Financial Officer in August 2008. Prior to joining Office Depot, Mr. Newman served as Chief Financial Officer of Platinum Research Organization, Inc. from April 2007 through February 2008. Prior to joining Platinum Research Organization, Mr. Newman was employed as an independent consultant since 2005. Mr. Newman also served as Chief Financial Officer of Blackstone Crystal Holdings Capital Partners from 2004 to 2005 and Chief Financial Officer of Radio Shack Corp. from 2001 to 2004. Mr. Newman also held Chief Financial Officer roles at Intimate Brands and Hussmann International (which was acquired by Ingersoll-Rand in 2000). He also spent 17 years at General Electric in a variety of management roles both in the United States and Europe.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J. Moore — Age: 54</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Moore was appointed Executive Vice President and Chief Marketing Officer for Office Depot in July of 2011. Mr. Moore joined the company as Interim Head of Marketing in April 2011. Prior to joining Office Depot, he ran his own marketing consulting practice from January 2009 to April 2011, and before that served as President of the U.S. Vision Care business from July 2007 to July 2008 and various senior executive positions since 2002. Mr. Moore’s experience also includes Executive Vice President of Marketing for Staples from 1999 to 2001 and Global VP Marketing and Product Design for Ray Ban Sunglass Group from 1996 to 1999.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Peters —Age: 54</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Peters was appointed President, North American in July 2011. He previously served as President of the North American Retail Division since April 2010 and as Executive Vice President, Supply Chain and Information Technology since March 2009. He joined the company in 2007 as Executive Vice President, Supply Chain. Prior to joining the company, Mr. Peters spent five years in management roles at W.W. Grainger, including Senior Vice President, Supply Chain and Merchandising. Prior to W.W. Grainger, Mr. Peters spent 11 years at The Home Depot, serving as Vice President and General Manager, Home Depot Commercial Direct and Vice President Supply Chain and Merchandising.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Steven Schmidt —Age: 57</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Schmidt was appointed President, International in November 2011 after serving as Executive Vice President, Corporate Strategy and New Business Development since July 2011 and as President, North American Business Solutions since July 2007. Prior to joining Office Depot, Mr. Schmidt spent 11 years with the ACNielsen Corporation, most recently serving as President and Chief Executive Officer. Prior to joining ACNielsen, Mr. Schmidt spent eight years at the Pillsbury Food Company, serving as President of its Canadian and Southeast Asian operations. He has also held management positions at PepsiCo and Procter &amp; Gamble.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industry and our company could materially impact our future performance and results. We have provided below a list of risk factors that should be reviewed when considering investing in our securities. These are not all the risks we face, and other factors currently considered immaterial or unknown to us may impact our future operations.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Declines in business and consumer spending could adversely affect our business and financial performance </w:t>
      </w:r>
      <w:r>
        <w:rPr>
          <w:rFonts w:ascii="Arial" w:cs="Arial" w:eastAsia="Arial" w:hAnsi="Arial"/>
          <w:sz w:val="18"/>
          <w:szCs w:val="18"/>
          <w:color w:val="auto"/>
        </w:rPr>
        <w:t>— Our operating results and performance depend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on worldwide economic conditions and their impact on business and consumer spending. The decline in business and consumer spending resulting from the global recession and the deterioration of global credit markets has caused our comparable store sales to continue to decline from prior periods and we have experienced similar declines in most of our other domestic and international businesses. Our business and financial performance may continue to be adversely affected by current and future economic conditions and the level of consumer debt and interest rates, which may cause a continued or further decline in business and consumer spending.</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Our business is highly competitive and failure to adequately differentiate ourselves or respond to shifting consumer demands could adversely impact our financial performance </w:t>
      </w:r>
      <w:r>
        <w:rPr>
          <w:rFonts w:ascii="Arial" w:cs="Arial" w:eastAsia="Arial" w:hAnsi="Arial"/>
          <w:sz w:val="16"/>
          <w:szCs w:val="16"/>
          <w:color w:val="auto"/>
        </w:rPr>
        <w:t>— The office products market is highly competitive and we compete locally, domestically and internationally with a variety of retailers,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and internet operators such as office supply stores, mass merchant retailers, warehouse clubs, computer and electronics stores, local merchants and contract stationers. Many competitors have also increased their presence by broadening their assortments or broadening from retail into the delivery and e-commerce channels, while others have substantially greater financial resources to devote to sourcing, marketing and selling their products. Product pricing is also becoming ever more competitive, particularly among competitors on the internet. In order to achieve and maintain expected profitability levels, we must continue to grow by adding new customers and taking market share from competitors. In addition, consumers are utilizing more technology and purchasing less paper, file storage and similar products. If we are unable to provide technology solutions and services or if we are unable to effectively compete, our sales and financial performance will be negatively impacted.</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We do a significant amount of business with government entities and loss of this business could negatively impact our results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 of our largest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groups consists of various state and local governments, federal, state and local government agencies and non-profit organizations. Contracting with these groups is highly competitive, subject to federal and state procurement laws, requires more restrictive contract terms and can be expensive and time-consuming. Bidding such contracts often requires that we incur significant upfront time and expense without any assurance that we will win a contract. Our ability to compete successfully for and retain business with the federal and various state and local governments is highly dependent on cost-effective performance and is also sensitive to changes in national and international priorities and U.S., state and local government budgets, which in the current economy continue to decrease. We service a substantial amount of government agency business through agreements with consortiums of governmental and non-profit entities. If we are unsuccessful in retaining these customers, or if there is a significant reduction in sales under our large government contracts or if we lose these contracts, it could adversely impact our financial results.</w:t>
      </w:r>
    </w:p>
    <w:p>
      <w:pPr>
        <w:spacing w:after="0" w:line="120" w:lineRule="exact"/>
        <w:rPr>
          <w:sz w:val="20"/>
          <w:szCs w:val="20"/>
          <w:color w:val="auto"/>
        </w:rPr>
      </w:pPr>
    </w:p>
    <w:p>
      <w:pPr>
        <w:jc w:val="both"/>
        <w:spacing w:after="0" w:line="314" w:lineRule="auto"/>
        <w:rPr>
          <w:sz w:val="20"/>
          <w:szCs w:val="20"/>
          <w:color w:val="auto"/>
        </w:rPr>
      </w:pPr>
      <w:r>
        <w:rPr>
          <w:rFonts w:ascii="Arial" w:cs="Arial" w:eastAsia="Arial" w:hAnsi="Arial"/>
          <w:sz w:val="15"/>
          <w:szCs w:val="15"/>
          <w:b w:val="1"/>
          <w:bCs w:val="1"/>
          <w:i w:val="1"/>
          <w:iCs w:val="1"/>
          <w:color w:val="auto"/>
        </w:rPr>
        <w:t xml:space="preserve">If a significant number of our vendors demand accelerated payments or require cash on delivery such demands could have an adverse impact on our operating cash flow and result in severe stress on our liquidity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purchase products for resale under credit arrangements with our vendors and have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able to negotiate payment terms that are approximately equal in length to the time it takes to sell the vendor’s products. In weak global markets, vendors may seek credit insurance to protect against non-payment of amounts due to them. If we continue to experience declining operating performance, and if we experience severe liquidity challenges, vendors may demand that we accelerate our payment for their products. Borrowings under our existing credit facility could reach maximum levels under such circumstances and we would seek alternative liquidity measures but may not be able to meet our obligations as they become due.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The tightening of the credit markets or a downgrade in our credit ratings could make it more difficult for us to access funds, refinance indebtedness, obtain new funding or issue securities </w:t>
      </w:r>
      <w:r>
        <w:rPr>
          <w:rFonts w:ascii="Arial" w:cs="Arial" w:eastAsia="Arial" w:hAnsi="Arial"/>
          <w:sz w:val="16"/>
          <w:szCs w:val="16"/>
          <w:color w:val="auto"/>
        </w:rPr>
        <w:t>— Historically, we have generated positive cash flow from operating activities and have had access to broad financial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provide the liquidity we need to operate our business. Together, these sources have been used to fund operating and working capital needs, as well as invest in business expansion through new store openings, capital improvements and acquisitions. Due to the downturn in the global economy our operating results have declined. Further deterioration in our financial results could negatively impact our credit ratings, our liquidity and our access to the capital markets. Certain of our existing indebtedness matures in 2013 and there can be no assurance that we will be able to refinance all or a portion of that indebtedness. If we are able to refinance all or a portion of that indebtedness, the terms of such refinancing will likely be less favorable than the terms of our existing indebtedness</w:t>
      </w:r>
      <w:r>
        <w:rPr>
          <w:rFonts w:ascii="Arial" w:cs="Arial" w:eastAsia="Arial" w:hAnsi="Arial"/>
          <w:sz w:val="16"/>
          <w:szCs w:val="16"/>
          <w:i w:val="1"/>
          <w:iCs w:val="1"/>
          <w:color w:val="auto"/>
        </w:rPr>
        <w:t>.</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 default under our credit facility could significantly restrict our access to funding and adversely impact our operations </w:t>
      </w:r>
      <w:r>
        <w:rPr>
          <w:rFonts w:ascii="Arial" w:cs="Arial" w:eastAsia="Arial" w:hAnsi="Arial"/>
          <w:sz w:val="16"/>
          <w:szCs w:val="16"/>
          <w:color w:val="auto"/>
        </w:rPr>
        <w:t>— Our asset based credit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a fixed charge coverage ratio covenant that is operative only when borrowing availability is below $125 million or prior to a restricted transaction, such as incurring additional indebtedness, acquisitions, dispositions, dividends, or share repurchases. The agreement also contains representations, warranties, affirmative and negative covenants, and default provisions. A breach of any of these covenants could result in a default under our credit agreement. Upon the occurrence of an event of default under our credit agreement, the lenders could elect to declare all amounts outstanding to be immediately due and payable and terminate all commitments to extend further credit. If the lenders were to accelerate the repayment of borrowings, we may not have sufficient assets to repay our asset based credit facility and our other indebtedness. Also, should there be an event of default, or a need to obtain waivers following an event of default, we may be subject to higher borrowing costs and/or more restrictive covenants in future periods. Acceleration of any obligation under any of our material debt agreements or instruments would permit the holders of our other material debt to accelerate their obligations.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Loss of key personnel or failure to effectively manage and motivate our workforce could negatively impact our sales and profitability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depend on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 other key personnel, and the loss of certain personnel could result in the loss of management continuity and institutional knowledge. We depend heavily upon our labor force to identify new customers and provide desired products and personalized customer service to existing customers. Changes in factors, such as overall unemployment levels, local competition for qualified personnel, prevailing wage rates, changes in employment law, as well as rising employee benefits costs, including insurance in the areas in which we operate, could interfere with our ability to adequately provide support to customers and increase our labor costs. We also engage third parties in some of our processes such as delivery and transaction processing who may face similar issues. In addition, we operate in various jurisdictions, each with distinct labor laws and regulations, which increase exposure, complexity and cost of compliance.</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Disruption of global sourcing activities or our own brand quality concerns could negatively impact brand reputation and earnings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recent years,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substantially increased the number and types of products that we sell under our own brands including Office Depot</w:t>
      </w:r>
      <w:r>
        <w:rPr>
          <w:rFonts w:ascii="Arial" w:cs="Arial" w:eastAsia="Arial" w:hAnsi="Arial"/>
          <w:sz w:val="10"/>
          <w:szCs w:val="10"/>
          <w:color w:val="auto"/>
        </w:rPr>
        <w:t>®</w:t>
      </w:r>
      <w:r>
        <w:rPr>
          <w:rFonts w:ascii="Arial" w:cs="Arial" w:eastAsia="Arial" w:hAnsi="Arial"/>
          <w:sz w:val="16"/>
          <w:szCs w:val="16"/>
          <w:color w:val="auto"/>
        </w:rPr>
        <w:t xml:space="preserve"> and other proprietary brands. Sources of supply may prove to be unreliable, or the quality of the globally sourced products may vary from our expectations. Economic and civil unrest in areas of the world where we source such products, as well as import and export, shipping and dockage issues, could adversely impact the availability or cost of such products, or both. Moreover, as we seek indemnities from the manufacturers of these products, the uncertainty of realization of any such indemnity and the lack of understanding of U.S. product liability laws in certain parts of Asia make it more likely that we may have to respond to claims or complaints from our customers. Most of our goods imported to the U.S. arrive from Asia through ports located on the U.S. west coast and we are therefore subject to potential disruption due to labor unrest, security issues or natural disasters affecting any or all of these ports.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Changes in tax laws in any of the multiple jurisdictions in which we operate can cause fluctuations in our overall tax rate impacting our reported earnings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global tax rate is derived from a combination of applicable tax rates in the various domestic and international jurisdictions in which we operate. Depending upon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sources of our income, any agreements we may have with taxing authorities in various jurisdictions, and the tax filing positions we take in these jurisdictions, our overall tax rate may fluctuate significantly from other companies or even our own past tax rates. At any given point in time, we base our estimate of an annual effective tax rate upon a calculated mix of the tax rates applicable to our company and to estimates of the amount of income likely to be generated in any given geography. The loss of one or more agreements with taxing jurisdictions, a change in the mix of our business from year to year and from country to country, changes in rules related to accounting for income taxes, changes in tax laws in any of the multiple jurisdictions in which we operate or adverse outcomes from the tax audits that regularly are in process in any of the jurisdictions in which we operate could result in an unfavorable change in our overall tax rate.</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We are subject to legal proceedings and legal compliance risks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involved in various legal proceedings, which from time to time may involve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lawsuits, federal, state and local governmental inquiries, audits and investigations, employment, tort, consumer litigation and intellectual property litigation. At times, such matters may involve directors and/or executive officers. Certain of these legal proceedings, including government investigations, may be a significant distraction to management and could expose our company to significant liability, including damages, fines, penalties, attorneys’ fees and costs, and non-monetary sanctions, including suspensions and debarments from doing business with certain government agencies, any of which could have a material adverse effect on our business and results of operations.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Failure to successfully manage domestic and international business could have an adverse effect on our operations and financial results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outside of our control could negatively impact anticipated store openings, joint ventures and franchise arrangements. We cannot provide assurance that our new store openings, including some newly sized or formatted stores or retail concepts, will be successful. There may be unintended consequences of adding joint venture and franchising partners to the Office Depot model, such as the potential for compromised operational control in certain countries and inconsistent international brand image. These arrangements may also add complexity to our processes and may require as yet unforeseen operational adjustments in the future that could adversely impact our operations and financial results.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We face risks associated with international business, such as foreign currency fluctuations, potential unfavorable foreign trade policies or unstable political and economic conditions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2011, we sold to customers in 60 countries throughout North America, Europe, Asia and Latin America.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wholly-owned entities, majority-owned entities and participate in joint ventures and alliances globally. Sales from our operations outside the U.S. are denominated in local currency, which must be translated into U.S. dollars for reporting purposes and therefore our consolidated earnings can be significantly impacted by fluctuations in world currency markets. We are required to comply with multiple foreign laws and regulations that may differ substantially from country to country, requiring significant management attention and cost. In addition, the business cultures in certain areas of the world are different than those that prevail in the U.S., and we may be at a competitive disadvantage against other companies that do not have to comply with standards of financial controls, anti-corruption or business integrity that we are committed to maintaining as a U.S. publicly traded company.</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Changes in the regulatory environment may increase our expenses and may negatively impact our business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regulatory requirements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corporate conduct and the conduct of our business, including securities laws, consumer protection and safety laws, advertising regulations, and wage and hour regulations. Certain jurisdictions have taken a particularly aggressive stance with respect to such matters and have implemented new initiatives and reforms, including more stringent disclosure and compliance requirements. To the extent that we are subject to more challenging regulatory environments and enhanced legal and regulatory requirements, such exposure could have a material adverse effect on our business, including the added cost of increased compliance measures that we may determine to be necessary.</w:t>
      </w:r>
    </w:p>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Increases in fuel prices could have an adverse impact on our earnings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operate a large network of stores and delivery centers around the globe.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purchase significant amounts of fuel needed to transport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products to our stores and customers as well as shipping costs to import products from overseas. While we may hedge our anticipated fuel purchases, the underlying commodity costs associated with this transport activity have been volatile in recent years and disruptions in availability of fuel could cause our operating costs to rise significantly to the extent not covered by our hedges. Additionally, we rely on predictable energy costs to operate our stores and DCs. Fluctuations in the availability or cost of our energy could have a material adverse effect on our profitability.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Disruptions of our computer systems could adversely affect our operations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rely heavily on computer systems to process transactions, manage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and supply-chain and to summarize and analyze our global business. Certain systems are at, or near the end of life, and need to be replaced. If our systems are damaged or fail to function properly, or, if we do not replace or upgrade certain systems, we may incur substantial costs to repair or replace them and may experience an interruption of our normal business activities or loss of critical data. We are undertaking certain system enhancements and conversions to increase productivity and efficiency, that, if not done properly, could divert the attention of our workforce during development and implementation and constrain for some time our ability to provide the level of service our customers demand. Also, once implemented, the new systems and technology may not provide the intended efficiencies or anticipated benefits and could add costs and complications to our ongoing operations.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We may be subject to breaches of our information technology systems, which could adversely affect our reputation, business partner and customer relationships and access to online stores. Such breaches could subject us to reputational and financial consequences, disrupt our operations and expose us to litigation </w:t>
      </w:r>
      <w:r>
        <w:rPr>
          <w:rFonts w:ascii="Arial" w:cs="Arial" w:eastAsia="Arial" w:hAnsi="Arial"/>
          <w:sz w:val="16"/>
          <w:szCs w:val="16"/>
          <w:color w:val="auto"/>
        </w:rPr>
        <w:t>— Through our sales and marketing activities, we collect and store certain personal information that our customers provide to purchase products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services, enroll in promotional programs, register on our web site, or otherwise communicate and interact with us. This may include names, addresses, phone numbers, email addresses, contact preferences, and payment account information. We also gather and retain information about our employees in the normal course of business. We may share information about such persons with vendors that assist with certain aspects of our business. In addition, our online operations at </w:t>
      </w:r>
      <w:r>
        <w:rPr>
          <w:rFonts w:ascii="Arial" w:cs="Arial" w:eastAsia="Arial" w:hAnsi="Arial"/>
          <w:sz w:val="16"/>
          <w:szCs w:val="16"/>
          <w:u w:val="single" w:color="auto"/>
          <w:color w:val="auto"/>
        </w:rPr>
        <w:t>www.officedepot.com</w:t>
      </w:r>
      <w:r>
        <w:rPr>
          <w:rFonts w:ascii="Arial" w:cs="Arial" w:eastAsia="Arial" w:hAnsi="Arial"/>
          <w:sz w:val="16"/>
          <w:szCs w:val="16"/>
          <w:color w:val="auto"/>
        </w:rPr>
        <w:t xml:space="preserve"> depend upon the secure transmission of confidential information over public networks, such as information permitting cashless payments.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instituted safeguards for the protection of such information. These security measures may be compromised as a result of third party security breaches, employee error, malfeasance, faulty password management, or other irregularity, and result in persons obtaining unauthorized access to company data or accounts. Despite instituted safeguards for the protection of such information, we cannot be certain that all of our systems are entirely free from vulnerability to attack. We may experience a breach of our systems and may be unable to protect sensitive data. Moreover, if a computer security breach affects our systems or results in the unauthorized release of personal information, our reputation and brand could be materially damaged and use of our products could decrease. The company would also be exposed to a risk of loss or litigation and possible liability, which could result in a material adverse effect on our business, results of operations and financial condition.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business could be disrupted due to weather related factors </w:t>
      </w:r>
      <w:r>
        <w:rPr>
          <w:rFonts w:ascii="Arial" w:cs="Arial" w:eastAsia="Arial" w:hAnsi="Arial"/>
          <w:sz w:val="18"/>
          <w:szCs w:val="18"/>
          <w:color w:val="auto"/>
        </w:rPr>
        <w:t>— Because of our heavy concentration in the southern U.S. (including Florida and the Gulf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Coast), we may be more susceptible than some of our competitors to the effects of tropical weather disturbances, such as hurricanes. In addition, winter storm conditions in areas that have a large concentration of our business activities could also result in lost retail sales, supply chain constraints or other business disruptions. We believe that we have taken reasonable precautions to prepare for weather-related events, but our precautions may not be adequate to deal with such events in the future.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The unionization of a significant portion of our workforce could increase our overall costs and adversely affect our operations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large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and while our management believes that our employee relations are good, we cannot be assured that we will not experience pressure from labor unions or become the target of campaigns similar to those faced by our competitors. The potential for unionization could increase if federal legislation is passed that would facilitate labor organization. Significant union representation would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require us to negotiate wages, salaries, benefits and other terms with many of our employees collectively and could adversely affect our results of operations by significantly increasing our labor costs or otherwise restricting our ability to maximize the efficiency of our operations.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BC Partners’ significant ownership interest dilutes the interests of our common shareholders, may discourage, delay or prevent a change in control of our company and grants important rights to BC Partners, Inc.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A and Series B Preferred Stock that we sold in June 2009 to funds advised by BC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Inc. (the “Investors”) were immediately convertible into shares of our common stock at an initial conversion price of $5.00 per share (subject to a conversion cap). The investment equates to an initial ownership interest of approximately 20%, assuming the full conversion of each series of preferred stock into the company’s common stock. Any sales in the public market of the shares of common stock issuable upon such conversion could adversely affect prevailing market prices of our common stock.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dividend rate remains 10% on both the Series A and Series B Preferred Stock, and dividends are paid quarterly in cash or are added to the liquidation preference at our option and are subject to certain restrictions. To the extent that dividends are added to the liquidation preference, this further increases the ownership interest of the Investors and dilutes the interests of the common shareholders.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holders of the Series A and Series B Preferred Stock are entitled to vote with the holders of our common stock on an as-converted basis, subject to limitations imposed by New York Stock Exchange (“NYSE”) shareholder approval requirements. The Investors have agreed to cause all of their common stock and preferred stock entitled to vote at any meeting of our shareholders to be present at such meeting and to vote all such shares in favor of any nominee or director nominated by the company’s Corporate Governance and Nominating Committee, against the removal of any director nominated by such committee and, with respect to any other business or proposal, in accordance with the recommendation of the board of directors (other than with respect to the approval of any proposed business combination agreement between the company and another entity). This may discourage, delay or prevent a change in control of our company, which could deprive our shareholders of an opportunity to receive a premium for their common stock as part of a sale of our company.</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entered into a related Investor Rights Agreement pursuant to which we granted certain rights to the Investors that may restrain our ability to take certain actions in the future. Subject to certain exceptions, for so long as the Investors’ ownership percentage is equal to or greater than 10%, the approval of at least one of the directors designated to our board of directors by the Investors is required for the company to incur any indebtedness for borrowed money in excess of $200 million in the aggregate during any fiscal year if the ratio of the consolidated debt of the company and its subsidiaries to the trailing four quarter adjusted EBITDA of the company and its subsidiaries, on a consolidated basis, is more than 4x. In addition, for so long as the Investors’ ownership percentage is (i) equal to or greater than 15%, the Investors are entitled to nominate three directors, (ii) less than 15% but more than 10%, two directors and (iii) less than 10% but more than 5%, one director. There can be no assurance that the interests of the Investors are aligned with those of our other shareholders. Investor interests can differ from each other and from other corporate interests and it is possible that this significant shareholder may have interests that differ from management and those of other shareholders. If the Investors were to sell, or otherwise transfer, all or a large percentage of their holdings, our stock price could decline and we could find it difficult to raise capital, if needed, through the sale of additional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 of Obligation to Update</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on Form 10-K to reflect actual results, changes in assumptions or other factors affecting such forward-looking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stores by location as of December 31, 2011.</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State/Country</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900" w:type="dxa"/>
            <w:vAlign w:val="bottom"/>
            <w:gridSpan w:val="2"/>
          </w:tcPr>
          <w:p>
            <w:pPr>
              <w:ind w:left="1920"/>
              <w:spacing w:after="0"/>
              <w:rPr>
                <w:sz w:val="20"/>
                <w:szCs w:val="20"/>
                <w:color w:val="auto"/>
              </w:rPr>
            </w:pPr>
            <w:r>
              <w:rPr>
                <w:rFonts w:ascii="Arial" w:cs="Arial" w:eastAsia="Arial" w:hAnsi="Arial"/>
                <w:sz w:val="14"/>
                <w:szCs w:val="14"/>
                <w:b w:val="1"/>
                <w:bCs w:val="1"/>
                <w:color w:val="auto"/>
              </w:rPr>
              <w:t>State/Country</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Alabama</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New Jersey</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Alaska</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New Mexico</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New York</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Arkansas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North Carolina</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340" w:type="dxa"/>
            <w:vAlign w:val="bottom"/>
          </w:tcPr>
          <w:p>
            <w:pPr>
              <w:jc w:val="right"/>
              <w:spacing w:after="0"/>
              <w:rPr>
                <w:sz w:val="20"/>
                <w:szCs w:val="20"/>
                <w:color w:val="auto"/>
              </w:rPr>
            </w:pPr>
            <w:r>
              <w:rPr>
                <w:rFonts w:ascii="Arial" w:cs="Arial" w:eastAsia="Arial" w:hAnsi="Arial"/>
                <w:sz w:val="18"/>
                <w:szCs w:val="18"/>
                <w:color w:val="auto"/>
              </w:rPr>
              <w:t>145</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North Dakota</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Colorado</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Ohio</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Connecticut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Oklahoma</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Oregon</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District of Columbia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Pennsylvania</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340" w:type="dxa"/>
            <w:vAlign w:val="bottom"/>
          </w:tcPr>
          <w:p>
            <w:pPr>
              <w:jc w:val="right"/>
              <w:spacing w:after="0"/>
              <w:rPr>
                <w:sz w:val="20"/>
                <w:szCs w:val="20"/>
                <w:color w:val="auto"/>
              </w:rPr>
            </w:pPr>
            <w:r>
              <w:rPr>
                <w:rFonts w:ascii="Arial" w:cs="Arial" w:eastAsia="Arial" w:hAnsi="Arial"/>
                <w:sz w:val="18"/>
                <w:szCs w:val="18"/>
                <w:color w:val="auto"/>
              </w:rPr>
              <w:t>146</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Puerto Rico</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South Carolina</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Hawaii</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South Dakota</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Idaho</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Tennessee</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Texas</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Utah</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Iowa</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Virginia</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Kansas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Washington</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Kentucky</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West Virginia</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Louisiana</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Wisconsin</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color w:val="auto"/>
              </w:rPr>
              <w:t>Maryland</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Wyoming</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5500" w:type="dxa"/>
            <w:vAlign w:val="bottom"/>
            <w:gridSpan w:val="3"/>
          </w:tcPr>
          <w:p>
            <w:pPr>
              <w:spacing w:after="0"/>
              <w:rPr>
                <w:sz w:val="20"/>
                <w:szCs w:val="20"/>
                <w:color w:val="auto"/>
              </w:rPr>
            </w:pPr>
            <w:r>
              <w:rPr>
                <w:rFonts w:ascii="Arial" w:cs="Arial" w:eastAsia="Arial" w:hAnsi="Arial"/>
                <w:sz w:val="18"/>
                <w:szCs w:val="18"/>
                <w:color w:val="auto"/>
              </w:rPr>
              <w:t>Massachusetts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TOTAL UNITED STATES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1,131</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51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INTERNATIONAL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Minnesota</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51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Mississippi</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FRANCE</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HUNGARY</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Montana</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SOUTH KOREA</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color w:val="auto"/>
              </w:rPr>
              <w:t>Nebraska</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SWEDEN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Nevada</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TOTAL INTERNATIONAL</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we had 15 North American supply chain facilities in 12 U.S. states which support our North American Retail and North American Business Solutions Divisions. As of December 31, 2011, we also had 27 DCs in 13 countries outside of the United States, which support our International Division. The following tables set forth the locations of our supply chain facilities as of December 31, 2011.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DCs (North America)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2960" w:type="dxa"/>
            <w:vAlign w:val="bottom"/>
            <w:gridSpan w:val="3"/>
          </w:tcPr>
          <w:p>
            <w:pPr>
              <w:jc w:val="center"/>
              <w:ind w:left="2656"/>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5"/>
                <w:szCs w:val="15"/>
                <w:color w:val="auto"/>
              </w:rPr>
            </w:pPr>
          </w:p>
        </w:tc>
        <w:tc>
          <w:tcPr>
            <w:tcW w:w="5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State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UNITED STATES:</w:t>
            </w:r>
          </w:p>
        </w:tc>
        <w:tc>
          <w:tcPr>
            <w:tcW w:w="2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Pennsylvania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Minnesota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Ohio</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Texas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Washington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TOTAL UNITED STATES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w w:val="88"/>
              </w:rPr>
              <w:t>Crossdock Facilities (North America)</w:t>
            </w:r>
          </w:p>
        </w:tc>
        <w:tc>
          <w:tcPr>
            <w:tcW w:w="340" w:type="dxa"/>
            <w:vAlign w:val="bottom"/>
          </w:tcPr>
          <w:p>
            <w:pPr>
              <w:spacing w:after="0"/>
              <w:rPr>
                <w:sz w:val="24"/>
                <w:szCs w:val="24"/>
                <w:color w:val="auto"/>
              </w:rPr>
            </w:pPr>
          </w:p>
        </w:tc>
      </w:tr>
      <w:tr>
        <w:trPr>
          <w:trHeight w:val="380"/>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29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State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UNITED STATES:</w:t>
            </w:r>
          </w:p>
        </w:tc>
        <w:tc>
          <w:tcPr>
            <w:tcW w:w="2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Mississippi</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TOTAL UNITED STATES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w w:val="91"/>
              </w:rPr>
              <w:t>International DCs</w:t>
            </w:r>
          </w:p>
        </w:tc>
        <w:tc>
          <w:tcPr>
            <w:tcW w:w="340" w:type="dxa"/>
            <w:vAlign w:val="bottom"/>
          </w:tcPr>
          <w:p>
            <w:pPr>
              <w:spacing w:after="0"/>
              <w:rPr>
                <w:sz w:val="24"/>
                <w:szCs w:val="24"/>
                <w:color w:val="auto"/>
              </w:rPr>
            </w:pPr>
          </w:p>
        </w:tc>
      </w:tr>
      <w:tr>
        <w:trPr>
          <w:trHeight w:val="380"/>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29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5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Country</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Belgium</w:t>
            </w:r>
          </w:p>
        </w:tc>
        <w:tc>
          <w:tcPr>
            <w:tcW w:w="2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China</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Spain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Czech Republic</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Sweden</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Switzerland</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The Netherlands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Italy</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TOTAL INTERNATIONAL</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corporate offices in Boca Raton, Florida consist of approximately 625,000 square feet of office space. We also lease a corporate office in Venlo, the Netherlands which is approximately 210,000 square feet and we lease other administrative offices. Each of our facilities is considered to be in good condition, adequate for its purpose and suitably utilized according to the individual nature and requirements of the relevant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Although we own a small number of our retail store locations, most of our facilities are leased or subleased.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involved in litigation arising in the normal course of our business. While, from time to time, claims are asserted that make demands for a large sum of money (including, from time to time, actions which are asserted to be maintainable as class action suits), we do not believe that contingent liabilities related to these matters (including the matters discussed below), either individually or in the aggregate, will materially affect our financial position, results of our operations or cash flows.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6, 2011, a putative class action lawsuit was filed against the company and certain current and former executive officers alleging violations of the Securities Exchange Act of 1934 and seeking damages, fees,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and equitable relief. The allegations made in this lawsuit primarily relate to the company’s previous financial disclosures and reports regarding the certain tax losses described below. The lawsuit was filed in the United States District Court for the Southern District of Florida captioned as Climo v. Office Depot, Inc, Steve Odland, Michael D. Newman and Neil R. Austrian. The Court granted a request by the Central Laborers’ Pension Fund (“CLPF”) to appoint it as lead plaintiff in the case and the CLPF filed its amended complaint on September 6, 2011. The company filed a motion to dismiss the Complaint November 7, 2011, plaintiff’s opposition to the motion to dismiss was filed on January 7, 2012, and the company’s reply was filed on February 7, 2012. Pursuant to Court Order, all discovery is stayed pending a decision on the motion to dismiss.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17, 2011, a derivative lawsuit was filed against certain current and former executive officers and the company, generally alleging that the officers breached their fiduciary duties. The allegations in this lawsuit primarily relate to the company’s previous financial disclosures and reports regarding the certain tax losses described below. The derivative lawsuit was filed in the United States District Court for the Southern District of Florida captioned as Long v. Steve Odland, Michael D. Newman and Neil R. Austrian, defendants, and Office Depot, Inc., nominal defendant. The Special Litigation Committee (“SLC”), which was appointed by the company’s Board of Directors to review the allegations, issued its report on January 9, 2012. As set forth in the report, the SLC determined that the claims alleged in the Complaint should be dismissed. Accordingly, the company intends to file a motion to dismiss the Complaint at the appropriate time.</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allegations made in the above lawsuits primarily relate to the company’s previous financial disclosures and reports regarding certain tax losses. On March 31, 2011, Office Depot announced that the Internal Revenue Service had denied the company’s claim to carry back certain tax losses to prior tax years under economic stimulus-based tax legislation enacted in 2009. As a result, on April 6, 2011, the company restated its financial results to revise the accounting treatment regarding its original tax position. The periods covered by the restatement are the fiscal year ended December 25, 2010 and each of the quarters ended June 26, 2010 and September 25, 2010.</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in the ordinary course of business, our sales to and transactions with government customers may be subject to investigations, audits and review by governmental authorities and regulatory agencies, with which we cooperate. Many of these investigations, audits and reviews are resolved without incident. While claims in these matters may at times assert large demands, we do not believe that contingent liabilities related to these matters, either individually or in the aggregate, will materially affect our financial position, results of our operations or cash flows. Among such matters, during the first quarter of 2011, we were notified that the United States Department of Justice (“DOJ”) commenced an investigation into certain pricing practices related to an expired agreement that was in place between January 2, 2006 and January 1, 2011, pursuant to which state, local and non-profit agencies could purchase office supplies. We are cooperating with the DOJ on this investigation.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common stock is listed on the New York Stock Exchange (“NYSE”) under the symbol “ODP.” As of the close of business on January 28, 2012, there were 6,917 holders of record of our common stock. The last reported sale price of the common stock on the NYSE on January 28, 2012 was $2.94</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 prices of our common stock, as quoted on the NYSE Composite Tape. These prices do not include retail mark-ups, markdowns or commission.</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50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b w:val="1"/>
                <w:bCs w:val="1"/>
                <w:color w:val="auto"/>
              </w:rPr>
              <w:t>2011</w:t>
            </w:r>
          </w:p>
        </w:tc>
        <w:tc>
          <w:tcPr>
            <w:tcW w:w="3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First Quarter</w:t>
            </w:r>
          </w:p>
        </w:tc>
        <w:tc>
          <w:tcPr>
            <w:tcW w:w="49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$6.100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$4.770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4.740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Third Quarter</w:t>
            </w:r>
          </w:p>
        </w:tc>
        <w:tc>
          <w:tcPr>
            <w:tcW w:w="49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4.420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2.050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2010</w:t>
            </w: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$5.190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Second Quarter</w:t>
            </w:r>
          </w:p>
        </w:tc>
        <w:tc>
          <w:tcPr>
            <w:tcW w:w="4900" w:type="dxa"/>
            <w:vAlign w:val="bottom"/>
            <w:gridSpan w:val="3"/>
          </w:tcPr>
          <w:p>
            <w:pPr>
              <w:jc w:val="right"/>
              <w:ind w:right="500"/>
              <w:spacing w:after="0"/>
              <w:rPr>
                <w:sz w:val="20"/>
                <w:szCs w:val="20"/>
                <w:color w:val="auto"/>
              </w:rPr>
            </w:pPr>
            <w:r>
              <w:rPr>
                <w:rFonts w:ascii="Arial" w:cs="Arial" w:eastAsia="Arial" w:hAnsi="Arial"/>
                <w:sz w:val="18"/>
                <w:szCs w:val="18"/>
                <w:color w:val="auto"/>
              </w:rPr>
              <w:t>9.190</w:t>
            </w:r>
          </w:p>
        </w:tc>
        <w:tc>
          <w:tcPr>
            <w:tcW w:w="50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Fourth Quarter</w:t>
            </w:r>
          </w:p>
        </w:tc>
        <w:tc>
          <w:tcPr>
            <w:tcW w:w="4900" w:type="dxa"/>
            <w:vAlign w:val="bottom"/>
            <w:gridSpan w:val="3"/>
          </w:tcPr>
          <w:p>
            <w:pPr>
              <w:jc w:val="right"/>
              <w:ind w:right="500"/>
              <w:spacing w:after="0"/>
              <w:rPr>
                <w:sz w:val="20"/>
                <w:szCs w:val="20"/>
                <w:color w:val="auto"/>
              </w:rPr>
            </w:pPr>
            <w:r>
              <w:rPr>
                <w:rFonts w:ascii="Arial" w:cs="Arial" w:eastAsia="Arial" w:hAnsi="Arial"/>
                <w:sz w:val="18"/>
                <w:szCs w:val="18"/>
                <w:color w:val="auto"/>
              </w:rPr>
              <w:t>5.530</w:t>
            </w:r>
          </w:p>
        </w:tc>
        <w:tc>
          <w:tcPr>
            <w:tcW w:w="50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never declared or paid cash dividends on our common stock and do not anticipate declaring or paying any cash dividends on our common stock in the foreseeable future. Our asset based credit facility includes limitations in certain circumstances on restricted payments including share repurchases and the payment of cash dividends. These restrictions are based on the then-current and pro-forma fixed charge coverage ratio and borrowing availability at the point of consideration. Further, so long as investors in our redeemable preferred stock own at least 10% of the common stock voting rights, on an as-converted basis, the affirmative vote of a majority of the shares of preferred stock then outstanding and entitled to vote is required for the declaration or payment of a dividend on common stock if dividends on the preferred stock have not been paid in full in cash.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497205</wp:posOffset>
            </wp:positionV>
            <wp:extent cx="4347845" cy="4185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graph shall not be deemed to be filed as part of this Form 10-K and does not constitute soliciting material and should not be deemed filed or incorporated by reference into any other filing of the company under the Securities Act of 1933, as amended, or the Securities Exchange Act of 1934, as amended, except to the extent the company specifically incorporates the graph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selected consolidated financial data at and for each of the five fiscal years in the period ended December 31, 2011. It should be read in conjunction with the Consolidated Financial Statements and Notes thereto, included in Item 8 of this report, and Management’s Discussion and Analysis of Financial Condition and Results of Operations, included in Item 7 of this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 and statistical data)</w:t>
            </w:r>
          </w:p>
        </w:tc>
        <w:tc>
          <w:tcPr>
            <w:tcW w:w="32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1"/>
                <w:szCs w:val="11"/>
                <w:b w:val="1"/>
                <w:bCs w:val="1"/>
                <w:color w:val="auto"/>
              </w:rPr>
              <w:t>(1)</w:t>
            </w: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Sales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11,489,533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11,633,094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12,144,467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14,495,544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15,527,537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earnings (loss) </w:t>
            </w:r>
            <w:r>
              <w:rPr>
                <w:rFonts w:ascii="Arial" w:cs="Arial" w:eastAsia="Arial" w:hAnsi="Arial"/>
                <w:sz w:val="11"/>
                <w:szCs w:val="11"/>
                <w:color w:val="auto"/>
              </w:rPr>
              <w:t>(2) (3)(4)(5)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95,691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(598,724)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(1,481,003)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 xml:space="preserve">Net earnings (loss) attributable to Office Depot, Inc </w:t>
            </w:r>
            <w:r>
              <w:rPr>
                <w:rFonts w:ascii="Arial" w:cs="Arial" w:eastAsia="Arial" w:hAnsi="Arial"/>
                <w:sz w:val="11"/>
                <w:szCs w:val="11"/>
                <w:color w:val="auto"/>
              </w:rPr>
              <w:t>(2) (3)(4)(5)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95,694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(44,623)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(596,465)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w w:val="91"/>
              </w:rPr>
              <w:t>(1,478,938)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earnings (loss) available to common shareholders </w:t>
            </w:r>
            <w:r>
              <w:rPr>
                <w:rFonts w:ascii="Arial" w:cs="Arial" w:eastAsia="Arial" w:hAnsi="Arial"/>
                <w:sz w:val="11"/>
                <w:szCs w:val="11"/>
                <w:color w:val="auto"/>
              </w:rPr>
              <w:t>(2) (3)(4)(5)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59,989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(81,736)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(626,971)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(1,478,938)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395,615</w:t>
            </w: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 (loss) per share: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0.22</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Statistical Data:</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Facilities open at end of period:</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Office supply stores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1,131</w:t>
            </w: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1,267</w:t>
            </w: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centers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Crossdock facilities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r>
              <w:rPr>
                <w:rFonts w:ascii="Arial" w:cs="Arial" w:eastAsia="Arial" w:hAnsi="Arial"/>
                <w:sz w:val="11"/>
                <w:szCs w:val="11"/>
                <w:color w:val="auto"/>
              </w:rPr>
              <w:t>(6)</w:t>
            </w: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Office supply stores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131</w:t>
            </w: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centers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Call centers</w:t>
            </w:r>
          </w:p>
        </w:tc>
        <w:tc>
          <w:tcPr>
            <w:tcW w:w="3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square footage — North American Retail Division</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8"/>
              </w:rPr>
              <w:t>26,556,126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27,559,184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28,109,844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30,672,862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29,790,082</w:t>
            </w: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Percentage of sales by segment:</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American Retail Division</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North American Business Solutions Division</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28.4%</w:t>
            </w: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Division</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29.2%</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4,250,984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4,569,437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4,890,346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7"/>
              </w:rPr>
              <w:t>5,268,226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7,256,540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648,313</w:t>
            </w:r>
          </w:p>
        </w:tc>
        <w:tc>
          <w:tcPr>
            <w:tcW w:w="28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659,820</w:t>
            </w:r>
          </w:p>
        </w:tc>
        <w:tc>
          <w:tcPr>
            <w:tcW w:w="2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662,740</w:t>
            </w:r>
          </w:p>
        </w:tc>
        <w:tc>
          <w:tcPr>
            <w:tcW w:w="2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688,788</w:t>
            </w:r>
          </w:p>
        </w:tc>
        <w:tc>
          <w:tcPr>
            <w:tcW w:w="2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net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363,636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355,979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355,308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53 weeks in accordance with our 52 — 53 week reporting convention.</w:t>
      </w:r>
    </w:p>
    <w:p>
      <w:pPr>
        <w:spacing w:after="0" w:line="74" w:lineRule="exact"/>
        <w:rPr>
          <w:rFonts w:ascii="Arial" w:cs="Arial" w:eastAsia="Arial" w:hAnsi="Arial"/>
          <w:sz w:val="22"/>
          <w:szCs w:val="22"/>
          <w:color w:val="auto"/>
          <w:vertAlign w:val="superscript"/>
        </w:rPr>
      </w:pPr>
    </w:p>
    <w:p>
      <w:pPr>
        <w:jc w:val="both"/>
        <w:ind w:left="460" w:hanging="452"/>
        <w:spacing w:after="0" w:line="239"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Fiscal year 2011 Net earnings (loss), Net earnings attributable to Office Depot, Inc., and Net earnings available to common shareholders includes approximately $58 million of charges relating to facility closure and process improvement activity. Additionally, approximately $123 million of tax and interest benefits were recognized associated with settlements and removal of contingencies and valuation allowances. See Management’s Discussion and Analysis of Financial Condition and Results of Operations for additional information.</w:t>
      </w:r>
    </w:p>
    <w:p>
      <w:pPr>
        <w:spacing w:after="0" w:line="75"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Fiscal year 2010 Net earnings (loss), Net loss attributable to Office Depot, Inc., and Net loss available to common shareholders include charges of approximately $87 million, including approximately $51 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write-off of Construction in Progress related to developed software. Additionally, tax benefits and interest reversals of approximately $41 million were recognized from settlements. See Management’s Discussion and Analysis of Financial Condition and Results of Operations for additional information.</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Fiscal year 2009 Net earnings (loss), Net loss attributable to Office Depot, Inc., and Net loss available to common shareholders include charges of approximately $253 million relating to facility closures and other items and approximately $322 million to establish valuation allowances on certain deferred tax assets. See Management’s Discussion and Analysis of Financial Condition and Results of Operations for additional information.</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Fiscal year 2008 Net loss attributable to Office Depot, Inc. and Net loss available to common shareholders include impairment charges for goodwill and trade names of $1.27 billion and other asset impairment charges of $222 million.</w:t>
      </w:r>
    </w:p>
    <w:p>
      <w:pPr>
        <w:spacing w:after="0" w:line="51"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5620" w:right="4380" w:hanging="5612"/>
        <w:spacing w:after="0" w:line="387" w:lineRule="auto"/>
        <w:tabs>
          <w:tab w:leader="none" w:pos="448"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Facilities of wholly-owned or majority-owned entities operated by our International Division. 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comprised of three segments. The North American Retail Division includes our retail stores in the U.S. which offer office supplies and services, computers and business machines and related supplies, and office furniture. Most stores also have a copy and print center offering printing, reproduction, mailing and shipping. The North American Business Solutions Division sells office supply products and services in the U.S. and Canada directly to businesses through catalogs, internet web sites and a dedicated sales force. Our International Division sells office products and services through catalogs, internet web sites, a dedicated sales force and retail stores in Europe and Asia.</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fiscal year results are based on a 52- or 53-week retail calendar ending on the last Saturday in December. Fiscal year 2011 is based on 53 weeks, with a 14-week fourth quarter. Fiscal years 2010 and 2009 include 52 weeks. Our comparable store sales relate to stores that have been open for at least one year. A summary of factors important to understanding our results for 2011 is provided below. The comparisons to prior years are discussed in the narrative that follows this overview.</w:t>
      </w:r>
    </w:p>
    <w:p>
      <w:pPr>
        <w:spacing w:after="0" w:line="18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company sales were $11.5 billion in 2011, down 1% compared to 2010. Total company sales decreased 4% in 2010 compared to 2009.</w:t>
      </w:r>
    </w:p>
    <w:p>
      <w:pPr>
        <w:spacing w:after="0" w:line="234" w:lineRule="exact"/>
        <w:rPr>
          <w:rFonts w:ascii="Arial" w:cs="Arial" w:eastAsia="Arial" w:hAnsi="Arial"/>
          <w:sz w:val="16"/>
          <w:szCs w:val="16"/>
          <w:color w:val="auto"/>
        </w:rPr>
      </w:pPr>
    </w:p>
    <w:p>
      <w:pPr>
        <w:ind w:left="220" w:hanging="212"/>
        <w:spacing w:after="0" w:line="332"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for 2011 declined 2% in the North American Retail Division and 1% in the North American Business Solutions Division. Comparable store sales in the North American Retail Division decreased 2%. International Division sales decreased 1% in U.S. dollars and 5% in constant currencies.</w:t>
      </w:r>
    </w:p>
    <w:p>
      <w:pPr>
        <w:spacing w:after="0" w:line="125" w:lineRule="exact"/>
        <w:rPr>
          <w:rFonts w:ascii="Arial" w:cs="Arial" w:eastAsia="Arial" w:hAnsi="Arial"/>
          <w:sz w:val="16"/>
          <w:szCs w:val="16"/>
          <w:color w:val="auto"/>
        </w:rPr>
      </w:pPr>
    </w:p>
    <w:p>
      <w:pPr>
        <w:jc w:val="both"/>
        <w:ind w:left="220" w:hanging="212"/>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2011 improved approximately 100 basis points compared to 2010, following an approximately 90 basis point increase from 2009. The increase in 2011 primarily reflects improvement from reduced promotional activity, lower property costs and changes in the mix of sales channels and products sold.</w:t>
      </w:r>
    </w:p>
    <w:p>
      <w:pPr>
        <w:spacing w:after="0" w:line="180" w:lineRule="exact"/>
        <w:rPr>
          <w:rFonts w:ascii="Arial" w:cs="Arial" w:eastAsia="Arial" w:hAnsi="Arial"/>
          <w:sz w:val="18"/>
          <w:szCs w:val="18"/>
          <w:color w:val="auto"/>
        </w:rPr>
      </w:pPr>
    </w:p>
    <w:p>
      <w:pPr>
        <w:jc w:val="both"/>
        <w:ind w:left="220" w:hanging="212"/>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recognized charges of approximately $58 million in 2011, primarily related to restructuring-related activity in the International Division, store closures in the North American Retail Division and process improvement actions at the corporate level. Charges recognized in 2010 and 2009 totaled approximately $87 million and $253 million, respectively.</w:t>
      </w:r>
    </w:p>
    <w:p>
      <w:pPr>
        <w:spacing w:after="0" w:line="180" w:lineRule="exact"/>
        <w:rPr>
          <w:rFonts w:ascii="Arial" w:cs="Arial" w:eastAsia="Arial" w:hAnsi="Arial"/>
          <w:sz w:val="18"/>
          <w:szCs w:val="18"/>
          <w:color w:val="auto"/>
        </w:rPr>
      </w:pPr>
    </w:p>
    <w:p>
      <w:pPr>
        <w:jc w:val="both"/>
        <w:ind w:left="220" w:hanging="212"/>
        <w:spacing w:after="0" w:line="256"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and related interest benefits of approximately $123 million were recognized in 2011 from the reversal of uncertain tax position accruals and the release of valuation allowances in certain jurisdictions based on positive earnings. Tax settlements and related interest reversal were also recognized in 2010. The company continues to operate in the U.S. with full valuation allowances on deferred tax assets, contributing to significant effective tax rate volatility within the year and across years.</w:t>
      </w:r>
    </w:p>
    <w:p>
      <w:pPr>
        <w:spacing w:after="0" w:line="183"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2011, we had $571 million in cash and approximately $734 million available on our asset based credit facility. Cash flow from operating activities was $200 million for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Discussion of other income and expense items, including material Charges and changes in interest and taxes follows our review of segment results.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RETAIL DIVISION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2009</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3"/>
              </w:rPr>
              <w:t>4,870.2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3"/>
              </w:rPr>
              <w:t>4,962.8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3"/>
              </w:rPr>
              <w:t>5,113.6</w:t>
            </w:r>
          </w:p>
        </w:tc>
      </w:tr>
      <w:tr>
        <w:trPr>
          <w:trHeight w:val="228"/>
        </w:trPr>
        <w:tc>
          <w:tcPr>
            <w:tcW w:w="3700" w:type="dxa"/>
            <w:vAlign w:val="bottom"/>
          </w:tcPr>
          <w:p>
            <w:pPr>
              <w:spacing w:after="0"/>
              <w:rPr>
                <w:sz w:val="20"/>
                <w:szCs w:val="20"/>
                <w:color w:val="auto"/>
              </w:rPr>
            </w:pPr>
            <w:r>
              <w:rPr>
                <w:rFonts w:ascii="Arial" w:cs="Arial" w:eastAsia="Arial" w:hAnsi="Arial"/>
                <w:sz w:val="18"/>
                <w:szCs w:val="18"/>
                <w:color w:val="auto"/>
              </w:rPr>
              <w:t>% change</w:t>
            </w:r>
          </w:p>
        </w:tc>
        <w:tc>
          <w:tcPr>
            <w:tcW w:w="2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(2)%</w:t>
            </w:r>
          </w:p>
        </w:tc>
        <w:tc>
          <w:tcPr>
            <w:tcW w:w="44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(16)%</w:t>
            </w:r>
          </w:p>
        </w:tc>
      </w:tr>
      <w:tr>
        <w:trPr>
          <w:trHeight w:val="96"/>
        </w:trPr>
        <w:tc>
          <w:tcPr>
            <w:tcW w:w="37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Division operating profit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134.8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127.5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105.5</w:t>
            </w:r>
          </w:p>
        </w:tc>
      </w:tr>
      <w:tr>
        <w:trPr>
          <w:trHeight w:val="228"/>
        </w:trPr>
        <w:tc>
          <w:tcPr>
            <w:tcW w:w="3700" w:type="dxa"/>
            <w:vAlign w:val="bottom"/>
          </w:tcPr>
          <w:p>
            <w:pPr>
              <w:spacing w:after="0"/>
              <w:rPr>
                <w:sz w:val="20"/>
                <w:szCs w:val="20"/>
                <w:color w:val="auto"/>
              </w:rPr>
            </w:pPr>
            <w:r>
              <w:rPr>
                <w:rFonts w:ascii="Arial" w:cs="Arial" w:eastAsia="Arial" w:hAnsi="Arial"/>
                <w:sz w:val="18"/>
                <w:szCs w:val="18"/>
                <w:color w:val="auto"/>
              </w:rPr>
              <w:t>% of sales</w:t>
            </w:r>
          </w:p>
        </w:tc>
        <w:tc>
          <w:tcPr>
            <w:tcW w:w="2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2.1%</w:t>
            </w:r>
          </w:p>
        </w:tc>
      </w:tr>
    </w:tbl>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in our North American Retail Division decreased 2% in 2011, 3% in 2010 and 16% in 2009. The decline in sales reflects the closing of 12 stores in Canada during 2011 and, in 2009, the closing of 120 underperforming stores as part of a strategic business review. Comparable store sales in 2011 from the 1,107 stores that were open for more than one year decreased 2%, with the fourth quarter down 5% compared to the prior year. Comparable store sales in 2010 from the 1,124 stores that were open for more than one year decreased 1%. The 53</w:t>
      </w:r>
      <w:r>
        <w:rPr>
          <w:rFonts w:ascii="Arial" w:cs="Arial" w:eastAsia="Arial" w:hAnsi="Arial"/>
          <w:sz w:val="10"/>
          <w:szCs w:val="10"/>
          <w:color w:val="auto"/>
        </w:rPr>
        <w:t>rd</w:t>
      </w:r>
      <w:r>
        <w:rPr>
          <w:rFonts w:ascii="Arial" w:cs="Arial" w:eastAsia="Arial" w:hAnsi="Arial"/>
          <w:sz w:val="16"/>
          <w:szCs w:val="16"/>
          <w:color w:val="auto"/>
        </w:rPr>
        <w:t xml:space="preserve"> week in 2011 added approximately $78 million to the Division’s full year reported sales. Transaction counts were lower in both 2011 and 2010, consistent with the comparable store sales declines. Sales in technology services, Copy and Print Depot, seating and office materials increased in 2011 compared to 2010, while sales of technology products, technology peripheral items and some office supplies declined. Sales in furniture, technology, technology services and Copy and Print Depot increased in 2010 compared to 2009; sales of supplies declined. Our decision to reduce promotions in select categories contributed to lower sales in both 2011 and 2010.</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North American Retail Division reported operating profit of approximately $135 million in 2011, $128 million in 2010 and $106 million in 2009. Division operating profit in 2011 included approximately $12 million of charges associated with the closure of stores in Canada. Charges for store closures in 2009 were managed at the corporate level and not reflected in the determination of Division operating profit. Gross margins increased in 2011 from a change in the mix of sales away from technology products and lower promotional activity, as well as continuing benefits from lower occupancy costs. Gross margins in 2010 also benefited from lower promotional activity and lower product cost driven by line reviews and increased sales of direct import products. Operating profit in 2011 included severance and other costs associated with the store closures in Canada, higher variable based pay and incremental costs incurred to drive increased customer focused selling activities. These factors were offset by a positive contribution from the 53</w:t>
      </w:r>
      <w:r>
        <w:rPr>
          <w:rFonts w:ascii="Arial" w:cs="Arial" w:eastAsia="Arial" w:hAnsi="Arial"/>
          <w:sz w:val="10"/>
          <w:szCs w:val="10"/>
          <w:color w:val="auto"/>
        </w:rPr>
        <w:t>rd</w:t>
      </w:r>
      <w:r>
        <w:rPr>
          <w:rFonts w:ascii="Arial" w:cs="Arial" w:eastAsia="Arial" w:hAnsi="Arial"/>
          <w:sz w:val="16"/>
          <w:szCs w:val="16"/>
          <w:color w:val="auto"/>
        </w:rPr>
        <w:t xml:space="preserve"> week in 2011, decreased advertising expenses and other favorable items including benefits recognized from changes to our private label credit card program. Advertising expense increased in 2010 compared to 2009 and was partially offset by lower variable based pay. Division operating profit in all periods was negatively affected by the unfavorable impact our sales volume decline had on gross margin and operating expenses (the “flow through” impact).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2011, we operated 1,131 retail stores in the U.S. We opened 9 new stores during 2011 and 17 stores during 2010. We closed 25 stores in North America during 2011, including the 12 stores in Canada, and 22 during 2010. We will continue to evaluate locations as leases become due and will close or relocate stores when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BUSINESS SOLUTIONS DIVISION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2009</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3"/>
              </w:rPr>
              <w:t>3,262.0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3"/>
              </w:rPr>
              <w:t>3,290.4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3"/>
              </w:rPr>
              <w:t>3,483.7</w:t>
            </w:r>
          </w:p>
        </w:tc>
      </w:tr>
      <w:tr>
        <w:trPr>
          <w:trHeight w:val="228"/>
        </w:trPr>
        <w:tc>
          <w:tcPr>
            <w:tcW w:w="3700" w:type="dxa"/>
            <w:vAlign w:val="bottom"/>
          </w:tcPr>
          <w:p>
            <w:pPr>
              <w:spacing w:after="0"/>
              <w:rPr>
                <w:sz w:val="20"/>
                <w:szCs w:val="20"/>
                <w:color w:val="auto"/>
              </w:rPr>
            </w:pPr>
            <w:r>
              <w:rPr>
                <w:rFonts w:ascii="Arial" w:cs="Arial" w:eastAsia="Arial" w:hAnsi="Arial"/>
                <w:sz w:val="18"/>
                <w:szCs w:val="18"/>
                <w:color w:val="auto"/>
              </w:rPr>
              <w:t>% change</w:t>
            </w:r>
          </w:p>
        </w:tc>
        <w:tc>
          <w:tcPr>
            <w:tcW w:w="2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(16)%</w:t>
            </w:r>
          </w:p>
        </w:tc>
      </w:tr>
      <w:tr>
        <w:trPr>
          <w:trHeight w:val="96"/>
        </w:trPr>
        <w:tc>
          <w:tcPr>
            <w:tcW w:w="37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Division operating profit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145.1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96.5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98.2</w:t>
            </w:r>
          </w:p>
        </w:tc>
      </w:tr>
      <w:tr>
        <w:trPr>
          <w:trHeight w:val="228"/>
        </w:trPr>
        <w:tc>
          <w:tcPr>
            <w:tcW w:w="3700" w:type="dxa"/>
            <w:vAlign w:val="bottom"/>
          </w:tcPr>
          <w:p>
            <w:pPr>
              <w:spacing w:after="0"/>
              <w:rPr>
                <w:sz w:val="20"/>
                <w:szCs w:val="20"/>
                <w:color w:val="auto"/>
              </w:rPr>
            </w:pPr>
            <w:r>
              <w:rPr>
                <w:rFonts w:ascii="Arial" w:cs="Arial" w:eastAsia="Arial" w:hAnsi="Arial"/>
                <w:sz w:val="18"/>
                <w:szCs w:val="18"/>
                <w:color w:val="auto"/>
              </w:rPr>
              <w:t>% of sales</w:t>
            </w:r>
          </w:p>
        </w:tc>
        <w:tc>
          <w:tcPr>
            <w:tcW w:w="2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4.4%</w:t>
            </w:r>
          </w:p>
        </w:tc>
        <w:tc>
          <w:tcPr>
            <w:tcW w:w="440" w:type="dxa"/>
            <w:vAlign w:val="bottom"/>
          </w:tcPr>
          <w:p>
            <w:pPr>
              <w:spacing w:after="0"/>
              <w:rPr>
                <w:sz w:val="19"/>
                <w:szCs w:val="19"/>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2.8%</w:t>
            </w:r>
          </w:p>
        </w:tc>
      </w:tr>
    </w:tbl>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 our North American Business Solutions Division decreased 1% in 2011, 6% in 2010 and 16% in 2009. The 53</w:t>
      </w:r>
      <w:r>
        <w:rPr>
          <w:rFonts w:ascii="Arial" w:cs="Arial" w:eastAsia="Arial" w:hAnsi="Arial"/>
          <w:sz w:val="11"/>
          <w:szCs w:val="11"/>
          <w:color w:val="auto"/>
        </w:rPr>
        <w:t>rd</w:t>
      </w:r>
      <w:r>
        <w:rPr>
          <w:rFonts w:ascii="Arial" w:cs="Arial" w:eastAsia="Arial" w:hAnsi="Arial"/>
          <w:sz w:val="18"/>
          <w:szCs w:val="18"/>
          <w:color w:val="auto"/>
        </w:rPr>
        <w:t xml:space="preserve"> week added approximately $34 million of sales to the Division in 2011. Sales in the direct channel increased in 2011 and decreased in 2010. Sales in the contract channel were lower in both years. For the Division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total, both the number of customer transactions and the average order value per transaction were lower in 2011 and 2010, in part reflecting reductions in promotional activity. During 2011, through alternative non-exclusive purchasing arrangements, the Division retained approximately 87% of the revenue from customers formerly associated with a legacy public sector purchasing cooperative. This retention rate is inclusive of declines due to public sector spending and budget constraints, which impacted these customers as well as our other public sector customers. Sales in the contract channel, other than to customers buying under these purchasing arrangements, were positive for 2011. Sales to small-to medium-sized businesses and sales to large national accounts increased during 2011. On a product category basis in 2011, sales of cleaning and break room products and certain office supplies increased while ink and toner, furniture, paper and other office supply categories decreased. In 2010, the Division experienced weakness in durables such as furniture, technology and peripherals, as customers delayed their purchases of these products in favor of consumables like paper, ink and toner.</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Division operating profit totaled $145 million in 2011, $97 million in 2010, and $98 million in 2009. The 2011 increase in Division operating profit reflects gross margin benefits from reduced promotions, the impact of a change in the mix of product sales to the direct channel, lower operating expenses, a change of mix of customers in the contract channel, and positive impacts from our margin improvement initiatives. Lower selling, distribution and advertising expenses were incurred in 2011 compared to 2010. Many of these operating expense reductions reflect initiatives put in place in prior periods to improve efficiency and productivity. Also, fiscal year 2011 included benefits discrete to the period from removing recourse provisions and changing terms and conditions in the Office Depot private label credit card program and adjustments relating to customer incentives. Variable based pay linked to performance was higher in 2011. The impact of the 53</w:t>
      </w:r>
      <w:r>
        <w:rPr>
          <w:rFonts w:ascii="Arial" w:cs="Arial" w:eastAsia="Arial" w:hAnsi="Arial"/>
          <w:sz w:val="10"/>
          <w:szCs w:val="10"/>
          <w:color w:val="auto"/>
        </w:rPr>
        <w:t>rd</w:t>
      </w:r>
      <w:r>
        <w:rPr>
          <w:rFonts w:ascii="Arial" w:cs="Arial" w:eastAsia="Arial" w:hAnsi="Arial"/>
          <w:sz w:val="16"/>
          <w:szCs w:val="16"/>
          <w:color w:val="auto"/>
        </w:rPr>
        <w:t xml:space="preserve"> week was relatively neutral to the Division’s overall operating profit for 2011. The 2010 decrease in operating profit was partially offset by higher gross margins from a shift in the mix of customers, some pricing improvements and product mix. Increased advertising expenses during 2010 were offset by initiatives to reduce the Division’s cost structure and lower variable pay for the period. The flow through impact of lower sales adversely affected all periods, with the greatest impact in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DIVISION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2009</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3"/>
              </w:rPr>
              <w:t>3,357.4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3"/>
              </w:rPr>
              <w:t>3,379.8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3"/>
              </w:rPr>
              <w:t>3,547.2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 change</w:t>
            </w:r>
          </w:p>
        </w:tc>
        <w:tc>
          <w:tcPr>
            <w:tcW w:w="1700" w:type="dxa"/>
            <w:vAlign w:val="bottom"/>
          </w:tcPr>
          <w:p>
            <w:pPr>
              <w:spacing w:after="0"/>
              <w:rPr>
                <w:sz w:val="18"/>
                <w:szCs w:val="18"/>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8"/>
                <w:szCs w:val="18"/>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(16)%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change in constant currency sales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w:t>
            </w:r>
          </w:p>
        </w:tc>
      </w:tr>
      <w:tr>
        <w:trPr>
          <w:trHeight w:val="323"/>
        </w:trPr>
        <w:tc>
          <w:tcPr>
            <w:tcW w:w="4100" w:type="dxa"/>
            <w:vAlign w:val="bottom"/>
          </w:tcPr>
          <w:p>
            <w:pPr>
              <w:spacing w:after="0"/>
              <w:rPr>
                <w:sz w:val="20"/>
                <w:szCs w:val="20"/>
                <w:color w:val="auto"/>
              </w:rPr>
            </w:pPr>
            <w:r>
              <w:rPr>
                <w:rFonts w:ascii="Arial" w:cs="Arial" w:eastAsia="Arial" w:hAnsi="Arial"/>
                <w:sz w:val="18"/>
                <w:szCs w:val="18"/>
                <w:color w:val="auto"/>
              </w:rPr>
              <w:t>Division operating profit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b w:val="1"/>
                <w:bCs w:val="1"/>
                <w:color w:val="auto"/>
              </w:rPr>
              <w:t>92.9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110.8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6"/>
              <w:spacing w:after="0"/>
              <w:rPr>
                <w:sz w:val="20"/>
                <w:szCs w:val="20"/>
                <w:color w:val="auto"/>
              </w:rPr>
            </w:pPr>
            <w:r>
              <w:rPr>
                <w:rFonts w:ascii="Arial" w:cs="Arial" w:eastAsia="Arial" w:hAnsi="Arial"/>
                <w:sz w:val="18"/>
                <w:szCs w:val="18"/>
                <w:color w:val="auto"/>
              </w:rPr>
              <w:t>119.6</w:t>
            </w:r>
          </w:p>
        </w:tc>
      </w:tr>
      <w:tr>
        <w:trPr>
          <w:trHeight w:val="21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of sales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2.8%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3.4%</w:t>
            </w:r>
          </w:p>
        </w:tc>
      </w:tr>
    </w:tbl>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in our International Division in U.S. dollars decreased 1% in 2011, 5% in 2010 and 16% in 2009. Constant currency sales decreased 5% in 2011, 2% in 2010 and 9% in 2009. Excluding the revenue impact from the fourth quarter 2010 dispositions of businesses in Israel and Japan and the deconsolidation of business in India, as well as the first quarter 2011 acquisition of a business in Sweden (the “Portfolio Changes”), constant currency sales were 1% lower in 2011 compared to 2010. The 53</w:t>
      </w:r>
      <w:r>
        <w:rPr>
          <w:rFonts w:ascii="Arial" w:cs="Arial" w:eastAsia="Arial" w:hAnsi="Arial"/>
          <w:sz w:val="10"/>
          <w:szCs w:val="10"/>
          <w:color w:val="auto"/>
        </w:rPr>
        <w:t>rd</w:t>
      </w:r>
      <w:r>
        <w:rPr>
          <w:rFonts w:ascii="Arial" w:cs="Arial" w:eastAsia="Arial" w:hAnsi="Arial"/>
          <w:sz w:val="16"/>
          <w:szCs w:val="16"/>
          <w:color w:val="auto"/>
        </w:rPr>
        <w:t xml:space="preserve"> week added approximately $28 million to total Division sales. Contract channel sales in constant currencies increased 3% in 2011 and 1% in 2010. The 2011 increase reflects growth in field sales as a result of staff added in the last two years, as well as the 2011 acquisition. Constant currency sales in the direct business declined 6% in 2011, after considering the Portfolio Changes, and declined 5% in 2010.</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Division operating profit totaled approximately $93 million in 2011, $111 million in 2010, and $120 million in 2009. Included in Division operating profit for 2011 and 2010 were charges of approximately $31 million and $23 million, respectively. The 2011 charges primarily relate to severance and other costs associated with facility closures and streamlining processes. The 2010 charges resulted from the sale of operating subsidiaries in Israel and Japan, as well as facility closure and severance costs associated with consolidation arrangements in Europe.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2010 subsidiary sales reflect the company’s decision to change its investment model in those countries from direct operations to continued cash flow from product sales and other arrangements. The company anticipates recognizing additional charges in 2012 as operational consolidation continues and the related accounting recognition criteria are met.</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decreases in Division operating profit in 2011, 2010 and 2009 were impacted by the flow through impact of lower sales levels. Gross profit as a percent of sales increased in 2011, but decreased after considering the Portfolio Changes. This decrease reflects a change in the mix of direct and contract sales, product costs not passed along to customers, and a negative impact of the 53</w:t>
      </w:r>
      <w:r>
        <w:rPr>
          <w:rFonts w:ascii="Arial" w:cs="Arial" w:eastAsia="Arial" w:hAnsi="Arial"/>
          <w:sz w:val="10"/>
          <w:szCs w:val="10"/>
          <w:color w:val="auto"/>
        </w:rPr>
        <w:t>rd</w:t>
      </w:r>
      <w:r>
        <w:rPr>
          <w:rFonts w:ascii="Arial" w:cs="Arial" w:eastAsia="Arial" w:hAnsi="Arial"/>
          <w:sz w:val="16"/>
          <w:szCs w:val="16"/>
          <w:color w:val="auto"/>
        </w:rPr>
        <w:t xml:space="preserve"> week, partially offset by lower occupancy costs. Operating expenses decreased across the Division, reflecting benefits from restructuring activities initiated in prior periods. The operating profit comparison of 2010 to 2009 also reflects higher vendor rebates in 2009 and higher product costs in 2010 that were not passed on to customers, partially offset by lower variable based pay. For 2009, the negative flow through impact was partially offset by lower operating expenses, including a decrease in distribution costs as well as lower payroll and advertising expenses.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U.S. reporting, the International Division’s sales are translated into U.S. dollars at average exchange rates experienced during the year. The Division’s reported sales were positively impacted by approximately $147 million in 2011, negatively impacted by $80 million in 2010 and positively impacted by $305 million in 2009 from changes in foreign currency exchange rates. Division operating profit was positively impacted by $4 million in 2011, negatively impacted by $3 million in 2010 and negatively impacted by $6 million in 2009 from changes in foreign exchange rates. Internally, we analyze our international operations in terms of local currency performance to allow focus on operating trends and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 Exit Costs and Other Charges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recent years, the company has taken actions to adapt to changing and increasingly competitive conditions experienced in the markets in which we serve. These actions include closing stores and distribution centers (“DCs”), consolidating functional activities, disposing of businesses and assets, and taking actions to improve process efficiencies. Significant charges and impairments have been recognized associated with these activities. The charges and impairments recognized in 2009 related to a strategic review and were managed at the corporate level (“Charges”) and not considered in determining Division operating profit. The charges and impairments recognized in 2011 and 2010 associated with facility closures, consolidating functions and process improvements were either included in the determination of Division operating profit or as corporate costs, depending on the underlying activity. Store-level impairments and store closure costs, unrelated to the actions discussed above, are included in determination of Division operating profit and are not included in the tables below.</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charges and impairments discussed above recognized throughout the company by year and the line item presentation in our accompanying Consolidated Statements of Operations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2011</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89"/>
              </w:rPr>
              <w:t>2009</w:t>
            </w:r>
          </w:p>
        </w:tc>
        <w:tc>
          <w:tcPr>
            <w:tcW w:w="100" w:type="dxa"/>
            <w:vAlign w:val="bottom"/>
            <w:tcBorders>
              <w:bottom w:val="single" w:sz="8" w:color="auto"/>
            </w:tcBorders>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occupancy costs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Store and warehouse operating and selling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2011 charges and impairments relate to the consolidation and elimination of functions in Europe, the closure of stores in Canada and company-wide process improvement initiatives. The charges and impairments recognized in 2010 include $51 million for the abandonment of a software application, $23 million for losses on the disposal of operating entities in Israel and Japan and other costs, as well as $13 million of compensation-related costs following the departure of our former CEO. The $253 million of Charges recognized in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followed a strategic review that led to closures of DCs in North America and Europe, closures of stores in North America and Japan, losses on sale-leaseback transactions that were initiated to enhance our liquidity position, as well as headcount reductions and other restructuring activities. As noted above, costs associated with that strategic review were captured and reviewed at the corporate level and were not included in Division results, consistent with the internal reporting used to manage the business and allocate resources. In addition to severance costs which usually require cash payment within 60 days of the initial accounting expense recognition, a significant amount of the Charges in 2009 related to closed store accruals, and to a lesser extent the 2011 store closures, which will continue to require cash payments over the related lease contract period or until the lease is terminated. Charges and credits associated with adjusting these accrued lease liabilities can impact future period results. Also, the ongoing accretion of the discounted accrued liability is reflected in operating expenses at the corporate level, but is not included in the charges and impairments discussed above. The accretion charge for 2011 and 2010 totaled approximately $12 million and $14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indicates the amount of charges and impairments included in the determination of Division operating profit and at the corporate level:</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w:t>
            </w:r>
          </w:p>
        </w:tc>
        <w:tc>
          <w:tcPr>
            <w:tcW w:w="1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2011</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89"/>
              </w:rPr>
              <w:t>2009</w:t>
            </w:r>
          </w:p>
        </w:tc>
        <w:tc>
          <w:tcPr>
            <w:tcW w:w="100" w:type="dxa"/>
            <w:vAlign w:val="bottom"/>
            <w:tcBorders>
              <w:bottom w:val="single" w:sz="8" w:color="auto"/>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Retail Division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North America Business Solutions Division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Division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Corporate level</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64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40"/>
        <w:spacing w:after="0" w:line="438" w:lineRule="auto"/>
        <w:rPr>
          <w:sz w:val="20"/>
          <w:szCs w:val="20"/>
          <w:color w:val="auto"/>
        </w:rPr>
      </w:pPr>
      <w:r>
        <w:rPr>
          <w:rFonts w:ascii="Arial" w:cs="Arial" w:eastAsia="Arial" w:hAnsi="Arial"/>
          <w:sz w:val="18"/>
          <w:szCs w:val="18"/>
          <w:color w:val="auto"/>
        </w:rPr>
        <w:t xml:space="preserve">Additional charges are anticipated in the International Division during 2012 as activities are implemented and the accounting recognition criteria are met. </w:t>
      </w:r>
      <w:r>
        <w:rPr>
          <w:rFonts w:ascii="Arial" w:cs="Arial" w:eastAsia="Arial" w:hAnsi="Arial"/>
          <w:sz w:val="18"/>
          <w:szCs w:val="18"/>
          <w:b w:val="1"/>
          <w:bCs w:val="1"/>
          <w:color w:val="auto"/>
        </w:rPr>
        <w:t>General and Administrative Expenses</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general and administrative expenses (“G&amp;A”) increased to $689 million in 2011 from $659 million in 2010. The portion of G&amp;A expenses considered directly or closely related to division activity is included in the measurement of Division operating profit. Other companies may charge more or less G&amp;A expenses and other costs to their segments, and our results therefore may not be comparable to similarly titled measures used by other companies. The remainder of the total G&amp;A expenses are considered corporate expenses. A breakdown of G&amp;A is provided in the following table: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2010</w:t>
            </w: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Division G&amp;A</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362.6</w:t>
            </w:r>
          </w:p>
        </w:tc>
        <w:tc>
          <w:tcPr>
            <w:tcW w:w="21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$342.2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$361.7</w:t>
            </w:r>
          </w:p>
        </w:tc>
        <w:tc>
          <w:tcPr>
            <w:tcW w:w="2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Corporate G&amp;A</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326.0</w:t>
            </w:r>
          </w:p>
        </w:tc>
        <w:tc>
          <w:tcPr>
            <w:tcW w:w="2140" w:type="dxa"/>
            <w:vAlign w:val="bottom"/>
            <w:gridSpan w:val="3"/>
          </w:tcPr>
          <w:p>
            <w:pPr>
              <w:jc w:val="right"/>
              <w:ind w:right="1120"/>
              <w:spacing w:after="0"/>
              <w:rPr>
                <w:sz w:val="20"/>
                <w:szCs w:val="20"/>
                <w:color w:val="auto"/>
              </w:rPr>
            </w:pPr>
            <w:r>
              <w:rPr>
                <w:rFonts w:ascii="Arial" w:cs="Arial" w:eastAsia="Arial" w:hAnsi="Arial"/>
                <w:sz w:val="18"/>
                <w:szCs w:val="18"/>
                <w:color w:val="auto"/>
              </w:rPr>
              <w:t>316.6</w:t>
            </w:r>
          </w:p>
        </w:tc>
        <w:tc>
          <w:tcPr>
            <w:tcW w:w="500" w:type="dxa"/>
            <w:vAlign w:val="bottom"/>
          </w:tcPr>
          <w:p>
            <w:pPr>
              <w:jc w:val="right"/>
              <w:spacing w:after="0"/>
              <w:rPr>
                <w:sz w:val="20"/>
                <w:szCs w:val="20"/>
                <w:color w:val="auto"/>
              </w:rPr>
            </w:pPr>
            <w:r>
              <w:rPr>
                <w:rFonts w:ascii="Arial" w:cs="Arial" w:eastAsia="Arial" w:hAnsi="Arial"/>
                <w:sz w:val="18"/>
                <w:szCs w:val="18"/>
                <w:color w:val="auto"/>
              </w:rPr>
              <w:t>361.4</w:t>
            </w:r>
          </w:p>
        </w:tc>
        <w:tc>
          <w:tcPr>
            <w:tcW w:w="260" w:type="dxa"/>
            <w:vAlign w:val="bottom"/>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G&amp;A</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688.6</w:t>
            </w:r>
          </w:p>
        </w:tc>
        <w:tc>
          <w:tcPr>
            <w:tcW w:w="21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658.8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$723.1</w:t>
            </w:r>
          </w:p>
        </w:tc>
        <w:tc>
          <w:tcPr>
            <w:tcW w:w="260" w:type="dxa"/>
            <w:vAlign w:val="bottom"/>
            <w:shd w:val="clear" w:color="auto" w:fill="CCEEFF"/>
          </w:tcPr>
          <w:p>
            <w:pPr>
              <w:spacing w:after="0"/>
              <w:rPr>
                <w:sz w:val="18"/>
                <w:szCs w:val="18"/>
                <w:color w:val="auto"/>
              </w:rPr>
            </w:pPr>
          </w:p>
        </w:tc>
      </w:tr>
      <w:tr>
        <w:trPr>
          <w:trHeight w:val="228"/>
        </w:trPr>
        <w:tc>
          <w:tcPr>
            <w:tcW w:w="3360" w:type="dxa"/>
            <w:vAlign w:val="bottom"/>
          </w:tcPr>
          <w:p>
            <w:pPr>
              <w:ind w:left="220"/>
              <w:spacing w:after="0"/>
              <w:rPr>
                <w:sz w:val="20"/>
                <w:szCs w:val="20"/>
                <w:color w:val="auto"/>
              </w:rPr>
            </w:pPr>
            <w:r>
              <w:rPr>
                <w:rFonts w:ascii="Arial" w:cs="Arial" w:eastAsia="Arial" w:hAnsi="Arial"/>
                <w:sz w:val="18"/>
                <w:szCs w:val="18"/>
                <w:color w:val="auto"/>
              </w:rPr>
              <w:t>% of sales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6.0%</w:t>
            </w:r>
          </w:p>
        </w:tc>
        <w:tc>
          <w:tcPr>
            <w:tcW w:w="2140" w:type="dxa"/>
            <w:vAlign w:val="bottom"/>
            <w:gridSpan w:val="3"/>
          </w:tcPr>
          <w:p>
            <w:pPr>
              <w:jc w:val="right"/>
              <w:ind w:right="1120"/>
              <w:spacing w:after="0"/>
              <w:rPr>
                <w:sz w:val="20"/>
                <w:szCs w:val="20"/>
                <w:color w:val="auto"/>
              </w:rPr>
            </w:pPr>
            <w:r>
              <w:rPr>
                <w:rFonts w:ascii="Arial" w:cs="Arial" w:eastAsia="Arial" w:hAnsi="Arial"/>
                <w:sz w:val="18"/>
                <w:szCs w:val="18"/>
                <w:color w:val="auto"/>
              </w:rPr>
              <w:t>5.7%</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r>
    </w:tbl>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noted above, total G&amp;A expenses include charges of $31 million, $22 million, and $26 million in 2011, 2010, and 2009, respectively. Of these amounts, approximately $17 million was included in Division G&amp;A for 2011, $9 million in 2010, and none in 2009. The remaining amounts in each year were included in Corporate G&amp;A. After considering these charges, Corporate G&amp;A expenses increased in 2011 from higher variable based pay and the comparison to a favorable litigation settlement in 2010. The decrease in 2010 compared to 2009 was from lower variable based pay, lower legal fees and a favorable litigation settlement.</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in the process of further assessing the G&amp;A expenses charged to the Divisions in determining their operating profit. We currently cannot estimate when this analysis will be completed or the potential impacts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on the Divisions, but the portion of G&amp;A expenses allocated to the Divisions in future years likely will be substantially increased.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2011</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2009</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b w:val="1"/>
                <w:bCs w:val="1"/>
                <w:color w:val="auto"/>
              </w:rPr>
              <w:t>1.2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8"/>
                <w:szCs w:val="18"/>
                <w:b w:val="1"/>
                <w:bCs w:val="1"/>
                <w:color w:val="auto"/>
              </w:rPr>
              <w:t>(33.2)</w:t>
            </w:r>
          </w:p>
        </w:tc>
        <w:tc>
          <w:tcPr>
            <w:tcW w:w="420" w:type="dxa"/>
            <w:vAlign w:val="bottom"/>
          </w:tcPr>
          <w:p>
            <w:pPr>
              <w:spacing w:after="0"/>
              <w:rPr>
                <w:sz w:val="18"/>
                <w:szCs w:val="18"/>
                <w:color w:val="auto"/>
              </w:rPr>
            </w:pP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(58.5)</w:t>
            </w:r>
          </w:p>
        </w:tc>
        <w:tc>
          <w:tcPr>
            <w:tcW w:w="420" w:type="dxa"/>
            <w:vAlign w:val="bottom"/>
          </w:tcPr>
          <w:p>
            <w:pPr>
              <w:spacing w:after="0"/>
              <w:rPr>
                <w:sz w:val="18"/>
                <w:szCs w:val="18"/>
                <w:color w:val="auto"/>
              </w:rPr>
            </w:pPr>
          </w:p>
        </w:tc>
        <w:tc>
          <w:tcPr>
            <w:tcW w:w="1060" w:type="dxa"/>
            <w:vAlign w:val="bottom"/>
          </w:tcPr>
          <w:p>
            <w:pPr>
              <w:jc w:val="right"/>
              <w:ind w:right="377"/>
              <w:spacing w:after="0"/>
              <w:rPr>
                <w:sz w:val="20"/>
                <w:szCs w:val="20"/>
                <w:color w:val="auto"/>
              </w:rPr>
            </w:pPr>
            <w:r>
              <w:rPr>
                <w:rFonts w:ascii="Arial" w:cs="Arial" w:eastAsia="Arial" w:hAnsi="Arial"/>
                <w:sz w:val="18"/>
                <w:szCs w:val="18"/>
                <w:color w:val="auto"/>
              </w:rPr>
              <w:t>(65.6)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2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b w:val="1"/>
                <w:bCs w:val="1"/>
                <w:color w:val="auto"/>
              </w:rPr>
              <w:t>30.9</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17.1</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impacted by the reversal of accrued interest of $32 million in 2011 and $11 million in 2010 following settlements of uncertain tax positions. Our accounting policy is to present interest accruals and reversals on uncertain tax positions as a component of interest expense. Additionally, approximately $2 million of interest income was recognized in 2010 from one of the tax settlements.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net miscellaneous income consists of our earnings of joint venture investments, gains and losses related to foreign exchange transactions, investment results from our deferred compensation plan and realized gains and impairments of other investments. We recognized earnings from our joint venture in Mexico, Office Depot de Mexico, of approximately $34 million, $31 million and $31 million in 2011, 2010, and 2009, respectively. These results also were impacted by foreign currency and other gains and losses in all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2009</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92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  (63.1)</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  (10.5)</w:t>
            </w:r>
          </w:p>
        </w:tc>
        <w:tc>
          <w:tcPr>
            <w:tcW w:w="14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  287.6</w:t>
            </w:r>
          </w:p>
        </w:tc>
      </w:t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920" w:type="dxa"/>
            <w:vAlign w:val="bottom"/>
          </w:tcPr>
          <w:p>
            <w:pPr>
              <w:jc w:val="right"/>
              <w:ind w:right="219"/>
              <w:spacing w:after="0"/>
              <w:rPr>
                <w:sz w:val="20"/>
                <w:szCs w:val="20"/>
                <w:color w:val="auto"/>
              </w:rPr>
            </w:pPr>
            <w:r>
              <w:rPr>
                <w:rFonts w:ascii="Arial" w:cs="Arial" w:eastAsia="Arial" w:hAnsi="Arial"/>
                <w:sz w:val="18"/>
                <w:szCs w:val="18"/>
                <w:b w:val="1"/>
                <w:bCs w:val="1"/>
                <w:color w:val="auto"/>
              </w:rPr>
              <w:t>(193)%</w:t>
            </w:r>
          </w:p>
        </w:tc>
        <w:tc>
          <w:tcPr>
            <w:tcW w:w="1280" w:type="dxa"/>
            <w:vAlign w:val="bottom"/>
          </w:tcPr>
          <w:p>
            <w:pPr>
              <w:jc w:val="right"/>
              <w:ind w:right="199"/>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379"/>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 as a percentage of earnings (loss) before income taxes.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effective tax rates for 2011 and 2010 reflect benefits from settlements of uncertain tax positions (“UTPs”) and from reversal of valuation allowances on deferred tax assets. The 2011 rate includes the reversal of $81 million of UTP accruals relating to U.S. and foreign jurisdictions following closure of tax audits and the expiration of the statute of limitations on previously open tax years. The 2010 effective rate includes the reversal of approximately $30 million of UTP accruals. In addition, 2011 and 2010 include approximately $9 million and $10 million, respectively, of discrete benefits from the release of valuation allowances in certain European countries because of improved performance in those jurisdictions. Partially offsetting these tax benefits is income tax expense recognized for tax paying entities. Because of significant valuation allowances that remain in other jurisdictions, deferred tax benefits are not recognized on certain loss generating entities. Within our international operations, statutory tax expense is generally lower compared to the aggregate U.S. federal and state income tax rates. This is further impacted by favorable tax ruling within our international operations.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reversal of UTPs in 2010 was reduced by approximately $7 million which was offset against other tax-related accounts and had no impact on earnings. The UTP reversals also resulted in a reversal of previously accrued interest expense of $32 million in 2011 and $11 million in 2010, as well as recognition of $2 million of interest income in 2010. Our accounting policy is to include accrued interest on UTPs, and any related reversals, as a component of interest expense in the condensed consolidated statement of operations.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recognition of $322 million of valuation allowances in 2009, we have regularly experienced substantial volatility in our effective tax rate for interim periods. Because deferred income tax benefits cannot be recognized in several jurisdictions, changes in the amount, mix and timing of projected pre-tax earnings in tax paying jurisdictions can have a significant impact on the annual expected tax rate which, applied against year-to-date results, can result in significant volatility in the overall effective tax rate. This interim volatility is likely to continue in future periods until the valuation allowances can be released.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file a U.S. federal income tax return and other income tax returns in various states and foreign jurisdictions. With few exceptions, we are no longer subject to active U.S. federal, state or local income tax examinations for years before 2009. The U.S. federal tax returns for 2009, 2010 and 2011 are under review. Significant international tax jurisdictions include the U.K., the Netherlands, France and Germany. Generally, we are subject to routine examination for years 2006 and forward in these foreign jurisdictions. It is reasonably possible that some audits will close within the next twelve months which could result in a decrease of as much as $2.6 million or an increase of as much as $1.0 million to our accrued uncertain tax positions.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ongoing 2009 and 2010 audits, the U.S. Internal Revenue Service (“IRS”) has proposed a deemed royalty assessment from our foreign operations with a tax and penalty amount of approximately $126 million. The company disagrees with this assessment and, based on the technical merits of this issue, believes that no accrual is required at this time. The company is working with its outside tax advisors and the IRS to resolve this dispute in a timely manner. To the extent the IRS were to prevail on this issue, the income statement and cash flow impact may be lowered because of available net operating losses and other deferred tax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2011, the company entered into a $1.0 billion amended and restated credit agreement (the “Amended Credit Agreement”) with a group of lenders, most of whom participated in the company’s previously existing $1.25 billion credit agreement. The Amended Credit Agreement expires May 25, 2016. The Amended Credit Agreement reduces the applicable borrowing spread, permits the company to redeem, tender or otherwise repurchase its existing 6.25% Senior Notes, subject to a $600 million minimum liquidity requirement, and modifies certain covenants. See Note E of the Notes to the Condensed Consolidated Financial Statements for additional information.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2011, we had approximately $570.7 million in cash and equivalents and another $734.4 million available under the Amended Credit Agreement based on the December borrowing base certificate, for a total liquidity of approximately $1.3 billion. We consider our resources adequate to satisfy our cash needs for at least the next twelve months.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2011, no amounts were drawn under the Amended Credit Agreement. The maximum month end amount outstanding during 2011 occurred in May at approximately $117.5 million. There were letters of credit outstanding under the Amended Credit Agreement at the end of the year totaling approximately $111.2 million. An additional $0.2 million of letters of credit were outstanding under separate agreements. Average borrowings under the Amended Credit Agreement during 2011 were approximately $61.9 million at an average interest rate of 3.5%. The maximum monthly average borrowings during 2011 occurred in May at approximately $121.5 million.</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had short-term borrowings of $15.1 million at December 31, 2011 under various local currency credit facilities for our international subsidiaries that had an effective interest rate at the end of the year of approximately 2.2%. The maximum month end amount occurred in May at approximately $17.6 million and the maximum monthly average amount occurred in June at approximately $17.0 million. The majority of these short-term borrowings represent outstanding balances on uncommitted lines of credit, which do not contain financial covenants.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was in compliance with all applicable financial covenants at December 31, 2011. On March 30, 2011, the company obtained from the lending institutions participating in the previously-existing credit agreement a waiver of default following identification of the need to restate the financial statements in our original Annual Report on Form 10-K filed on February 22, 2011. For additional information see Note A to Notes to Consolidated Financial Statements.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Dividends on the company’s redeemable preferred stock are payable quarterly, and will be paid in-kind or in cash, only to the extent that the company has funds legally available for such payment and a cash dividend is declared by the company’s board of directors. Dividends for the first three quarters of 2011 were paid in cash. The dividend due on January 1, 2012 was paid-in-kind, totaling approximately $7.7 million, measured at fair value.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2012, the company announced commencement of a cash tender offer to purchase up to $250.0 million aggregate principal amount of its outstanding 6.25% Senior Notes due 2013. The tender offer is scheduled to expire at midnight, New York City time, on March 16, 2012, unless extended or earlier terminated.</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24, 2012, the company, together with certain of its European subsidiaries, as borrowers and certain of its domestic subsidiaries as guarantors, entered into an amendment (the “Amendment”) to the Amended Credit Agreement with the lenders party thereto, JPMorgan Chase Bank, N.A., London Branch, as European Administrative Agent and European Collateral Agent, JPMorgan Chase Bank, N.A., as Administrative Agent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US Collateral Agent, Bank of America, N.A., as Syndication Agent and Citibank, N.A. and Wells Fargo Bank, N.A., as Documentation Agents. The Amendment amends the Amended Credit Agreement to provide the company flexibility with regard to certain restrictive covenants in any possible future refinancings and other transactions. In addition, the Amendment releases one of the company’s subsidiaries from its guarantee obligations under the Amended Credit Agreement.</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foregoing description of the Amendment which describes the primary changes to the Amended Credit Agreement, does not purport to be complete and is subject to and qualified in its entirety by reference to the full text of the Amendment, which is filed as an Exhibit to this Form 10-K.</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on February 24, 2012, the company entered into a two-year committed factoring arrangement that allows us to sell certain foreign trade receivables to a third party which provides up to approximately $75 million additional liquidity, depending on the level of eligible receivables and currency exchange rates. As of February 27, 2012, no trade receivables had been sold under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(used in) our operating, investing and financing activities is summarized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3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2010</w:t>
            </w: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color w:val="auto"/>
              </w:rPr>
              <w:t>2009</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320" w:type="dxa"/>
            <w:vAlign w:val="bottom"/>
            <w:shd w:val="clear" w:color="auto" w:fill="CCEEFF"/>
          </w:tcPr>
          <w:p>
            <w:pPr>
              <w:jc w:val="right"/>
              <w:ind w:right="257"/>
              <w:spacing w:after="0"/>
              <w:rPr>
                <w:sz w:val="20"/>
                <w:szCs w:val="20"/>
                <w:color w:val="auto"/>
              </w:rPr>
            </w:pPr>
            <w:r>
              <w:rPr>
                <w:rFonts w:ascii="Arial" w:cs="Arial" w:eastAsia="Arial" w:hAnsi="Arial"/>
                <w:sz w:val="18"/>
                <w:szCs w:val="18"/>
                <w:b w:val="1"/>
                <w:bCs w:val="1"/>
                <w:color w:val="auto"/>
              </w:rPr>
              <w:t>$ 199.7</w:t>
            </w:r>
          </w:p>
        </w:tc>
        <w:tc>
          <w:tcPr>
            <w:tcW w:w="11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$ 203.1</w:t>
            </w:r>
          </w:p>
        </w:tc>
        <w:tc>
          <w:tcPr>
            <w:tcW w:w="13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$296.4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Investing activities</w:t>
            </w:r>
          </w:p>
        </w:tc>
        <w:tc>
          <w:tcPr>
            <w:tcW w:w="3320" w:type="dxa"/>
            <w:vAlign w:val="bottom"/>
          </w:tcPr>
          <w:p>
            <w:pPr>
              <w:jc w:val="right"/>
              <w:ind w:right="197"/>
              <w:spacing w:after="0"/>
              <w:rPr>
                <w:sz w:val="20"/>
                <w:szCs w:val="20"/>
                <w:color w:val="auto"/>
              </w:rPr>
            </w:pPr>
            <w:r>
              <w:rPr>
                <w:rFonts w:ascii="Arial" w:cs="Arial" w:eastAsia="Arial" w:hAnsi="Arial"/>
                <w:sz w:val="18"/>
                <w:szCs w:val="18"/>
                <w:b w:val="1"/>
                <w:bCs w:val="1"/>
                <w:color w:val="auto"/>
              </w:rPr>
              <w:t>(157.2)</w:t>
            </w:r>
          </w:p>
        </w:tc>
        <w:tc>
          <w:tcPr>
            <w:tcW w:w="1160" w:type="dxa"/>
            <w:vAlign w:val="bottom"/>
          </w:tcPr>
          <w:p>
            <w:pPr>
              <w:jc w:val="right"/>
              <w:ind w:right="197"/>
              <w:spacing w:after="0"/>
              <w:rPr>
                <w:sz w:val="20"/>
                <w:szCs w:val="20"/>
                <w:color w:val="auto"/>
              </w:rPr>
            </w:pPr>
            <w:r>
              <w:rPr>
                <w:rFonts w:ascii="Arial" w:cs="Arial" w:eastAsia="Arial" w:hAnsi="Arial"/>
                <w:sz w:val="18"/>
                <w:szCs w:val="18"/>
                <w:color w:val="auto"/>
              </w:rPr>
              <w:t>(191.5)</w:t>
            </w:r>
          </w:p>
        </w:tc>
        <w:tc>
          <w:tcPr>
            <w:tcW w:w="1300" w:type="dxa"/>
            <w:vAlign w:val="bottom"/>
          </w:tcPr>
          <w:p>
            <w:pPr>
              <w:jc w:val="right"/>
              <w:ind w:right="437"/>
              <w:spacing w:after="0"/>
              <w:rPr>
                <w:sz w:val="20"/>
                <w:szCs w:val="20"/>
                <w:color w:val="auto"/>
              </w:rPr>
            </w:pPr>
            <w:r>
              <w:rPr>
                <w:rFonts w:ascii="Arial" w:cs="Arial" w:eastAsia="Arial" w:hAnsi="Arial"/>
                <w:sz w:val="18"/>
                <w:szCs w:val="18"/>
                <w:color w:val="auto"/>
              </w:rPr>
              <w:t>25.3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320" w:type="dxa"/>
            <w:vAlign w:val="bottom"/>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(98.6)</w:t>
            </w:r>
          </w:p>
        </w:tc>
        <w:tc>
          <w:tcPr>
            <w:tcW w:w="11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(30.9)</w:t>
            </w:r>
          </w:p>
        </w:tc>
        <w:tc>
          <w:tcPr>
            <w:tcW w:w="13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173.3</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earnings (loss) in 2011 and 2010 include non-cash settlements of uncertain tax positions and related interest, as well as changes in valuation allowances. The 2011 settlements impact the $360 million decrease in accrued expenses and $15 million of deferred taxes in determining cash flow from operating activities. Net working capital and other components increased $180 million in 2011, compared to an increase of $94 million in 2010. The greater change in 2011 reflects adjustments of approximately $113 million for the non-cash tax and interest settlements, compared to approximately $41 million of similar settlements in 2010. The decrease in receivables in each of the years 2011, 2010 and 2009 reflects lower sales, improved collections, and certain changes in vendor purchase arrangements. Inventory balances were lower at the end of 2011 as initiatives were put in place during the year to better manage safety stock and minimum presentation levels. These sources of cash in 2011 were offset by decreases in trade and nontrade accounts payable and accrued expenses. Additionally, during 2011, we received a $25 million dividend from our joint venture. Non-cash charges for asset impairments impacted 2010 and 2009 and cash payments associated with restructuring activities and continuing payment of leases on closed facilities affected each of the three years.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is influenced by a number of factors, including the aging of inventory and timing of vendor payments. The timing of payments is subject to variability during the year depending on a variety of factors, including the flow of goods, credit terms, timing of promotions, vendor production planning, new product introductions and working capital management. The timing of payments at the end of 2011 resulted in increases to certain accounts payable and accrued expense balances that could be a use of cash in 2012. For our accounting policy on cash management, see Note A of the Notes to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$157 million in 2011, $192 million in 2010, and a $25 million source of cash in 2009. We invested $130 million, $169 million and $131 million in capital expenditures during 2011, 2010 and 2009, respectively. The 2011 capital expenditures relate to new stores and relocations, internal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initiatives and various capital projects. The $73 million of acquisition, net of cash acquired was for the acquisition of an entity in Sweden that occurred during the first quarter of 2011. Approximately $47 million was placed in a restricted cash escrow account in 2010 and released in 2011 to fund this acquisition. During 2010, we used approximately $11 million to complete an acquisition. Proceeds from disposition of assets amounted to $8 million in 2011 compared to $35 million in 2010 and $150 million in 2009. Proceeds from the disposition of assets in 2010 included $25 million from the sale of a data center and $8 million from the sale of two operating subsidiaries in the International Division. Proceeds from the disposition of assets in 2009 included proceeds of sale-leaseback transactions of approximately $116 million. In 2009, we also completed the sale of an asset previously classified as a capital lease, resulting in proceeds of approximately $29 million. We placed $9 million of restricted cash on deposit in 2011 relating to an advance received on a dispute that was settled in January 2012.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in financing activities totaled $99 million and $31 million in 2011 and 2010, compared to a source of cash of $173 million in 2009. The use of cash in 2011 included the cash dividends paid on our convertible preferred stock of approximately $37 million, repayments of long and short term borrowings of $69 million, and $10 million in fees related to the Amended Credit Agreement. The dividend on our convertible preferred stock for the fourth quarter of 2011 was paid in-kind in January 2012. The sources of cash in 2011 included proceeds from issuance of borrowings of $10 million, as well as an advance of $9 million was received relating to a dispute associated with a prior year acquisition in Europe. A final settlement of this dispute was reached in January 2012; see Note R of Notes to Consolidated Financial Statements for additional discussion. The use of cash in 2010 resulted from the cash dividends paid on our convertible preferred stock of approximately $28 million and $22 million to acquire certain noncontrolling interests. The 2010 period included short-term borrowings under the Facility offset by payments of approximately $30 million. The source of cash in 2009 resulted from our issuance of redeemable preferred stock during the second quarter, partially offset by repayments of borrowing on our asset based credit facility and capital lease payments. The company has evaluated, and expects to continue to evaluate, possible refinancings and other transactions. Such transactions may be material and may involve cash, the company’s securities or the assumption of additional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had no off-balance sheet arrangements other than operating leases which are included in the table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our contractual cash obligations at December 31, 2011, and the effect such obligations are expected to have on liquidity and cash flow in future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Less than</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jc w:val="center"/>
              <w:ind w:right="120"/>
              <w:spacing w:after="0" w:line="131" w:lineRule="exact"/>
              <w:rPr>
                <w:sz w:val="20"/>
                <w:szCs w:val="20"/>
                <w:color w:val="auto"/>
              </w:rPr>
            </w:pPr>
            <w:r>
              <w:rPr>
                <w:rFonts w:ascii="Arial" w:cs="Arial" w:eastAsia="Arial" w:hAnsi="Arial"/>
                <w:sz w:val="14"/>
                <w:szCs w:val="14"/>
                <w:color w:val="auto"/>
                <w:w w:val="92"/>
              </w:rPr>
              <w:t>After 5</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w w:val="82"/>
              </w:rPr>
              <w:t>1 year</w:t>
            </w:r>
          </w:p>
        </w:tc>
        <w:tc>
          <w:tcPr>
            <w:tcW w:w="120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color w:val="auto"/>
              </w:rPr>
              <w:t>1 - 3 years</w:t>
            </w: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4 - 5 years</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1"/>
              </w:rPr>
              <w:t>years</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1"/>
                <w:szCs w:val="11"/>
                <w:color w:val="auto"/>
              </w:rPr>
              <w:t>(1)</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479.6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28.8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429.9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Short-term borrowings and other </w:t>
            </w:r>
            <w:r>
              <w:rPr>
                <w:rFonts w:ascii="Arial" w:cs="Arial" w:eastAsia="Arial" w:hAnsi="Arial"/>
                <w:sz w:val="11"/>
                <w:szCs w:val="11"/>
                <w:color w:val="auto"/>
              </w:rPr>
              <w:t>(2)</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11"/>
                <w:szCs w:val="11"/>
                <w:color w:val="auto"/>
              </w:rPr>
              <w:t>(3)</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489.4</w:t>
            </w:r>
          </w:p>
        </w:tc>
        <w:tc>
          <w:tcPr>
            <w:tcW w:w="300" w:type="dxa"/>
            <w:vAlign w:val="bottom"/>
          </w:tcPr>
          <w:p>
            <w:pPr>
              <w:spacing w:after="0"/>
              <w:rPr>
                <w:sz w:val="18"/>
                <w:szCs w:val="18"/>
                <w:color w:val="auto"/>
              </w:rPr>
            </w:pP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86.0</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1"/>
                <w:szCs w:val="11"/>
                <w:color w:val="auto"/>
              </w:rPr>
              <w:t>(4)</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83"/>
              </w:rPr>
              <w:t>2,327.0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3"/>
              </w:rPr>
              <w:t>488.1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782.3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3"/>
              </w:rPr>
              <w:t>490.8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1"/>
                <w:szCs w:val="11"/>
                <w:color w:val="auto"/>
              </w:rPr>
              <w:t>(5)</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8"/>
                <w:szCs w:val="18"/>
                <w:color w:val="auto"/>
              </w:rPr>
            </w:pPr>
          </w:p>
        </w:tc>
        <w:tc>
          <w:tcPr>
            <w:tcW w:w="640" w:type="dxa"/>
            <w:vAlign w:val="bottom"/>
          </w:tcPr>
          <w:p>
            <w:pPr>
              <w:jc w:val="right"/>
              <w:ind w:right="117"/>
              <w:spacing w:after="0"/>
              <w:rPr>
                <w:sz w:val="20"/>
                <w:szCs w:val="20"/>
                <w:color w:val="auto"/>
              </w:rPr>
            </w:pPr>
            <w:r>
              <w:rPr>
                <w:rFonts w:ascii="Arial" w:cs="Arial" w:eastAsia="Arial" w:hAnsi="Arial"/>
                <w:sz w:val="18"/>
                <w:szCs w:val="18"/>
                <w:color w:val="auto"/>
                <w:w w:val="93"/>
              </w:rPr>
              <w:t>144.9</w:t>
            </w:r>
          </w:p>
        </w:tc>
        <w:tc>
          <w:tcPr>
            <w:tcW w:w="28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11"/>
                <w:szCs w:val="11"/>
                <w:color w:val="auto"/>
              </w:rPr>
              <w:t>(6)</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ind w:right="115"/>
              <w:spacing w:after="0"/>
              <w:rPr>
                <w:sz w:val="20"/>
                <w:szCs w:val="20"/>
                <w:color w:val="auto"/>
              </w:rPr>
            </w:pPr>
            <w:r>
              <w:rPr>
                <w:rFonts w:ascii="Arial" w:cs="Arial" w:eastAsia="Arial" w:hAnsi="Arial"/>
                <w:sz w:val="18"/>
                <w:szCs w:val="18"/>
                <w:color w:val="auto"/>
                <w:w w:val="83"/>
              </w:rPr>
              <w:t>3,528.5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7"/>
              <w:spacing w:after="0"/>
              <w:rPr>
                <w:sz w:val="20"/>
                <w:szCs w:val="20"/>
                <w:color w:val="auto"/>
              </w:rPr>
            </w:pPr>
            <w:r>
              <w:rPr>
                <w:rFonts w:ascii="Arial" w:cs="Arial" w:eastAsia="Arial" w:hAnsi="Arial"/>
                <w:sz w:val="18"/>
                <w:szCs w:val="18"/>
                <w:color w:val="auto"/>
                <w:w w:val="93"/>
              </w:rPr>
              <w:t>731.8</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ind w:right="292"/>
              <w:spacing w:after="0"/>
              <w:rPr>
                <w:sz w:val="20"/>
                <w:szCs w:val="20"/>
                <w:color w:val="auto"/>
              </w:rPr>
            </w:pPr>
            <w:r>
              <w:rPr>
                <w:rFonts w:ascii="Arial" w:cs="Arial" w:eastAsia="Arial" w:hAnsi="Arial"/>
                <w:sz w:val="18"/>
                <w:szCs w:val="18"/>
                <w:color w:val="auto"/>
                <w:w w:val="86"/>
              </w:rPr>
              <w:t>1,372.7</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w w:val="93"/>
              </w:rPr>
              <w:t>588.5</w:t>
            </w:r>
          </w:p>
        </w:tc>
        <w:tc>
          <w:tcPr>
            <w:tcW w:w="3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80" w:type="dxa"/>
            <w:vAlign w:val="bottom"/>
            <w:vMerge w:val="restart"/>
          </w:tcPr>
          <w:p>
            <w:pPr>
              <w:jc w:val="right"/>
              <w:ind w:right="75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Long-term debt obligations consist primarily of our $400 million senior notes and the associated contractual interest payments. Also included in this amount are the expected payments (principal and interest) on certain long-term debt obligations.</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Short-term borrowings consist of amounts outstanding under the Amended Credit Agreement and subsidiary lines of credit.</w:t>
      </w:r>
    </w:p>
    <w:p>
      <w:pPr>
        <w:spacing w:after="0" w:line="74"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present value of these obligations are included on our Consolidated Balance Sheets. See Note E of the Notes to Consolidated Financial Statements for additional information about our capital lease obligations.</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operating lease obligations presented reflect future minimum lease payments due under the non-cancelable portions of our leases as of December 31, 2011. Our operating lease obligations are described in Note G of the Notes to Consolidated Financial Statements. In the table above, sublease income is distributed by period.</w:t>
      </w:r>
    </w:p>
    <w:p>
      <w:pPr>
        <w:spacing w:after="0" w:line="76" w:lineRule="exact"/>
        <w:rPr>
          <w:rFonts w:ascii="Arial" w:cs="Arial" w:eastAsia="Arial" w:hAnsi="Arial"/>
          <w:sz w:val="22"/>
          <w:szCs w:val="22"/>
          <w:color w:val="auto"/>
          <w:vertAlign w:val="superscript"/>
        </w:rPr>
      </w:pPr>
    </w:p>
    <w:p>
      <w:pPr>
        <w:jc w:val="both"/>
        <w:ind w:left="460" w:hanging="452"/>
        <w:spacing w:after="0" w:line="261" w:lineRule="auto"/>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Purchase obligations include all commitments to purchase goods or services of either a fixed or minimum quantity that are enforceable and legally binding on us that meet any of the following criteria: (1) they are non-cancelable, (2) we would incur a penalty if the agreement was cancelled, or (3) we must make specified minimum payments even if we do not take delivery of the contracted products or services. If the obligation is non-cancelable, the entire value of the contract is included in the table. If the obligation is cancelable, but we would incur a penalty if cancelled, the dollar amount of the penalty is included as a purchase obligation. If we can unilaterally terminate the agreement simply by providing a certain number of days notice or by paying a termination fee, we have included the amount of the termination fee or the amount that would be paid over the “notice period.” As of December 31, 2011, purchase obligations include television, radio and newspaper advertising, sports sponsorship commitments, telephone services, certain fixed assets and software licenses and service and maintenance contracts for information technology. Contracts that can be unilaterally terminated without a penalty have not been included.</w:t>
      </w:r>
    </w:p>
    <w:p>
      <w:pPr>
        <w:spacing w:after="0" w:line="62" w:lineRule="exact"/>
        <w:rPr>
          <w:rFonts w:ascii="Arial" w:cs="Arial" w:eastAsia="Arial" w:hAnsi="Arial"/>
          <w:sz w:val="21"/>
          <w:szCs w:val="21"/>
          <w:color w:val="auto"/>
          <w:vertAlign w:val="superscript"/>
        </w:rPr>
      </w:pPr>
    </w:p>
    <w:p>
      <w:pPr>
        <w:jc w:val="both"/>
        <w:ind w:left="460" w:hanging="452"/>
        <w:spacing w:after="0" w:line="243"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Our Consolidated Balance Sheet as of December 31, 2011 includes $452 million classified as “Deferred income taxes and other long-term liabilities.” This caption primarily consists of our net long-term deferred income taxes, the unfunded portion of our pension plan, deferred lease credits, liabilities under our deferred compensation plans, and accruals for uncertain tax positions. These liabilities have been excluded from the above table as the timing and/or the amount of any cash payment is uncertain. See Note F of the Notes to Consolidated Financial Statements for additional information regarding our deferred tax positions and accruals for uncertain tax positions and Note H for a discussion of our employee benefit plans, including the pension plan and the deferred compensation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we have outstanding letters of credit totaling $111.4 million at December 31,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Preparation of these statements requires management to make judgments and estimates. Some accounting policies have a significant impact on amounts reported in these financial statements. A summary of significant accounting policies can be found in Note A of the Notes to Consolidated Financial Statements. We have also identified certain accounting policies that we consider critical to understanding our business and our results of operations and we have provided below additional information on those policies.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Vendor arrangements </w:t>
      </w:r>
      <w:r>
        <w:rPr>
          <w:rFonts w:ascii="Arial" w:cs="Arial" w:eastAsia="Arial" w:hAnsi="Arial"/>
          <w:sz w:val="18"/>
          <w:szCs w:val="18"/>
          <w:color w:val="auto"/>
        </w:rPr>
        <w:t>— Our inventory purchases from vendors are generally under arrangements that automatically renew until cancelled with periodic updates</w:t>
      </w:r>
      <w:r>
        <w:rPr>
          <w:rFonts w:ascii="Arial" w:cs="Arial" w:eastAsia="Arial" w:hAnsi="Arial"/>
          <w:sz w:val="18"/>
          <w:szCs w:val="18"/>
          <w:i w:val="1"/>
          <w:iCs w:val="1"/>
          <w:color w:val="auto"/>
        </w:rPr>
        <w:t xml:space="preserve"> </w:t>
      </w:r>
      <w:r>
        <w:rPr>
          <w:rFonts w:ascii="Arial" w:cs="Arial" w:eastAsia="Arial" w:hAnsi="Arial"/>
          <w:sz w:val="18"/>
          <w:szCs w:val="18"/>
          <w:color w:val="auto"/>
        </w:rPr>
        <w:t>or annual negotiated agreements. Many of these arrangements require the vendors to make payments to us or provide credits to be used against purchases if and when certain conditions are met. We generally refer to these arrangements as “vendor programs,” and they typically fall into two broad categories, with some underlying sub-categories. The first category is volume-based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rebates. Generally, our product costs per unit decline as higher volumes of purchases are reached. Certain of our vendor agreements provide that we pay higher per unit costs prior to reaching a predetermined tier, at which time the vendor rebates the per unit differential on past purchases, and also applies the lower cost to future purchases until the next milestone is reached. Current accounting rules provide that companies with a sound basis for estimating their full year purchases, and therefore the ultimate rebate level, can use that estimate to value inventory and cost of goods sold throughout the year. We believe our history of purchases with many vendors provides us with a sound basis for our estimates of purchase volume. If the anticipated volume of purchases is not reached, however, or if we form the belief at any given point in the year that it is not likely to be reached, cost of goods sold and the remaining inventory balances are adjusted to reflect that change in our outlook. We review sales projections and related purchases against vendor program estimates at least quarterly and adjust these balances accordingly. In recent years, the company has reduced the number of arrangements that contain this tiered purchase rebate mechanism in exchange for a lower product cost throughout the year. Continued elimination of tiered arrangements could further reduce the potential variability in gross margin from changes in volume-based estimates.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broad category of arrangements with our vendors is event-based programs. These arrangements can take many forms, including advertising support, special pricing offered by certain of our vendors for a limited time, payments for special placement or promotion of a product, reimbursement of costs incurred to launch a vendor’s product, and various other special programs. These payments are classified as a reduction of costs of goods sold or inventory, as appropriate for the program. Some arrangements may meet the specific, incremental, identifiable cost criteria that allow for direct operating expense offset, but such arrangements are not significant.</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Vendor rebates are recognized throughout the year based on judgment and estimates and amounts due from vendors are generally settled throughout the year based on purchase volumes. The final amounts due from vendors are generally known soon after year-end. Substantially all vendor program receivables outstanding at the end of the year are settled within the three months immediately following year-end. We believe that our historic collection rates of these receivables provide a sound basis for our estimates of anticipated vendor payments throughout the year.</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Inventory valuation </w:t>
      </w:r>
      <w:r>
        <w:rPr>
          <w:rFonts w:ascii="Arial" w:cs="Arial" w:eastAsia="Arial" w:hAnsi="Arial"/>
          <w:sz w:val="16"/>
          <w:szCs w:val="16"/>
          <w:color w:val="auto"/>
        </w:rPr>
        <w:t>— Inventories are valued at the lower of cost or market value. We monitor active inventory for excessive quantities and slow-moving items</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record adjustments as necessary to lower the value if the anticipated realizable amount is below cost. We also identify merchandise that we plan to discontinue or have begun to phase out and assess the estimated recoverability of the carrying value. This includes consideration of the quantity of the merchandise, the rate of sale, and our assessment of current and projected market conditions and anticipated vendor rebates. If necessary, we record a charge to cost of sales to reduce the carrying value of this merchandise to our estimate of the lower of cost or realizable amount. Additional promotional activities may be initiated and markdowns may be taken as considered appropriate until the product is sold or otherwise disposed. Estimates and judgments are required in determining what items to stock and at what level, and what items to discontinue and how to value them prior to sale.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recognize an expense in cost of sales for our estimate of physical inventory loss from theft, short shipment and other factors – referred to as inventory shrink. During the year, we adjust the estimate of our shrink rate accrual following on-hand adjustments and our physical inventory results. These changes in estimates may result in volatility within the year or impact comparisons to other periods.</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Closed store accruals and asset impairments </w:t>
      </w:r>
      <w:r>
        <w:rPr>
          <w:rFonts w:ascii="Arial" w:cs="Arial" w:eastAsia="Arial" w:hAnsi="Arial"/>
          <w:sz w:val="16"/>
          <w:szCs w:val="16"/>
          <w:color w:val="auto"/>
        </w:rPr>
        <w:t>— We regularly assess the performance of each retail store against historic patterns and projections of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profitability. These assessments are based on management’s estimates for sales levels, gross margin attainments, and cash flow generation. If, as a result of these evaluations, management determines that a store will not achieve certain operating performance targets, we may decide to close the store. At the point of closure, we recognize a liability for the remaining costs related to the property, reduced by an estimate of any sublease income. The calculation of this liability requires us to make assumptions and to apply judgment regarding the remaining term of the lease (including vacancy period), anticipated sublease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and costs associated with vacating the premises. Lease commitments with no economic benefit to the company are discounted at the credit-adjusted discount rate at the time of each location closure. With assistance from independent third parties to assess market conditions, we periodically review these judgments and estimates and adjust the liability accordingly. Future fluctuations in the economy and the market demand for commercial properties could result in material changes in this liability. Costs associated with facility closures are included in store and warehouse operating and selling expenses in our Consolidated Statements of Operations. The accretion of the discounted lease liability and potential future positive and negative adjustments to the recorded amounts from settlements or changes in market conditions related to a company-wide business review are recognized at the corporate level, outside of the determination of Division operating profit. Residual costs and benefits of closures from other periods are included in Division operating profit.</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decision about whether or not to close a store, store assets are regularly reviewed for recoverability of their carrying amounts. The recoverability assessment requires judgment and estimates of a store’s future cash flows. Our impairment analysis builds a cash flow model at the individual store level, beginning with recent store performance and trending the anticipated future results based on chain-wide and individual store initiatives. If the anticipated undiscounted cash flows of a store cannot support the carrying amount of the store’s assets, an impairment charge is recorded to operations as a component of store and warehouse operating and selling expenses. That charge is measured as the difference between the carrying value of the assets and their estimated fair value, typically calculated as the discounted amount of the estimated cash flow. The store-level estimated cash flows, by their nature, include uncertain projections and assumptions about future performance. Important assumptions used in these projections include an assessment of future overall economic conditions, the company’s ability to control future costs, maintain aspects of positive performance, and successfully implement initiatives designed to enhance sales and gross margins. To the extent that management’s estimates of future performance are not realized, future assessments could result in material impairment charges.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 At December 31, 2011, we had goodwill of $62 million, indefinite lived intangible assets of $6 million and definite lived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of $30 million. We review amortization periods and goodwill and indefinite lived intangible assets for impairment annually in the fourth quarter of the year, or sooner if indicators of potential impairment are identified. We use a discounted cash flow approach in assessing the estimated fair value of the reporting units with goodwill and a relief from royalty approach for the indefinite lived trade name. The discounted cash flow analysis begins with the ensuing year’s business plan and requires estimates of future sales, profitability, capital expenditures and related cash flows. We include a residual value and discount the aggregate cash flow at an estimated cost of capital for the related unit. We also review the results against a measurement of market capitalization and, to the extent available, market data. These calculations require significant judgment. Of the goodwill recognized at December 31, 2011, approximately $42 million was in the International Division’s European reporting unit and $19 million was in the North American Business Solutions Division’s direct reporting unit. The European reporting unit has the greatest sensitivity to potential changes in economic conditions, company performance and the related impacts on estimated fair value. Should future performance be below our projections, goodwill and other intangible asset impairment changes could result. While the quantitative assessment described above was used for our 2011 assessment, the accounting rules for goodwill testing will change in 2012 to allow for a qualitative assessment of potential impairment if certain conditions are met or the continued use of this quantitative approach.</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Income tax accounting requires management to make estimates and apply judgments to events that will be recognized in one period under rules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apply to financial reporting and in a different period in our tax returns. In particular, judgment is required when estimating the value of future tax deductions, tax credits, and the realizability of net operating loss carryforwards (NOLs), as represented by deferred tax assets. When we believe the realization of all or a portion of a deferred tax asset is not likely, we establish a valuation allowance. Changes in judgments that increase or decrease these valuation allowances impact current earnings.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Because of the downturn in our performance during this recessionary period, as well as the significant restructuring activities and charges we have taken in response, we established valuation allowances totaling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$322 million during 2009. The charge to establish the valuation allowance followed the third quarter 2009 condition of reaching or nearly reaching a 36 month cumulative loss position in two taxing jurisdictions. Judgment is required in projecting when operations will be sufficiently positive to allow a conclusion that utilization of the deferred tax assets will once again be more likely than not. Positive performance in subsequent periods and projections of future positive performance will need to be evaluated against existing negative evidence. Valuation allowances in certain foreign jurisdictions were removed during 2010 and 2011 because sufficient positive financial information existed, resulting in tax benefit recognition of $10 million and $9 million, respectively. Our effective tax rate in future periods may be positively or negatively impacted by changes in related judgments about valuation allowances or pre-tax operations. At December 31, 2011, approximately $387 million of valuation allowances remain relating to U.S. businesses and approximately $235 million relating to foreign jurisdictions.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judgments associated with valuation accounts, our current tax provision can be affected by our mix of income and identification or resolution of uncertain tax positions. Because income from domestic and international sources may be taxed at different rates, the shift in mix during a year or over years can cause the effective tax rate to change. We base our rate during the year on our best estimate of an annual effective rate, and update that estimate quarterly, with the cumulative effect of a change in the anticipated annual rate reflected in the tax provision of that period. Such changes can result in significant interim reporting volatility, as was experienced during 2011 and 2010. This volatility can result from changes in our projected earnings levels, the mix of income, the impact of valuation allowances in certain jurisdictions and the interim accounting rules applied to entities expected to pay taxes on a full year basis, but recognizing losses in an interim period.</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file our tax returns based on our best understanding of the appropriate tax rules and regulations. However, complexities in the rules and our operations, as well as positions taken publicly by the taxing authorities, may lead us to conclude that an accrual for an uncertain tax position (“UTP”) is required. We generally maintain accruals for UTPs until examination of the tax position is completed by the taxing authority, available review periods expire, or additional facts and circumstances cause us to change our assessment of the appropriate accrual amount. During the third quarter of 2011, following closure of certain tax audits and the expiration of the statute of limitations on previously open tax years, we reversed approximately $66 million of UTPs and a related $32 million of accrued interest. An additional UTP accrual of $15 million was reversed during the fourth quarter of 2011 following closure of certain tax audits. At December 31, 2011, the UTP accrual was approximately $5.7 million. Matters could arise in the future that could result in additional tax and interest expense or UTP accruals. For example, the company has received notice from the IRS of a proposed deemed royalty assessment from our foreign operations. We disagree with this assessment and no accrual for this matter has been recorded. See Note F to the Notes to Consolidated Financial Statements.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has significant operations outside the U.S. Because earnings from those entities have been and will continue to be reinvested into the foreign operations, no incremental U.S. income taxes have been accrued on those earnings. Should the company decide to distribute earnings from our foreign operations to the U.S., additional income tax expense would be recognized, or valuation allowances reduced, for the income tax consequence of the anticipated distribution and possibly for the calculated tax consequences of the full amount of undistributed earnings, net of allowable offsets. The company does not intend to repatriate these funds to the U.S.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Preferred stock paid-in-kind dividends </w:t>
      </w:r>
      <w:r>
        <w:rPr>
          <w:rFonts w:ascii="Arial" w:cs="Arial" w:eastAsia="Arial" w:hAnsi="Arial"/>
          <w:sz w:val="18"/>
          <w:szCs w:val="18"/>
          <w:color w:val="auto"/>
        </w:rPr>
        <w:t>— Our redeemable preferred stock carries a stated dividend of 10%, subject to future decreases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allows for payment in cash or an increase in the preferred stock’s liquidation preference as directed by the board of directors. The valuation for accounting purposes of the dividend paid in-kind requires significant judgment to determine the estimated fair value. The company has used a binomial simulation model to measure values of multiple possible outcomes of the various provisions in the agreement that could impact whether the dividend rate would change based on future stock price performance, whether the company would issue a notice to call the preferred shares and whether the holders would convert their preferred stock into common stock. While the fair value of preferred stock dividends paid in-kind has no standing in the contractual rights to liquidation preference of the preferred shareholders nor 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impact on the company, it impacts the measurement of net income available to common shareholders and earnings per share. Changes in the valuation assumptions such as the risk adjusted rate, stock price volatility and time to call or convert can impact the estimated fair value and therefore the amount reported as net income available to common shareholders and earnings per share. However, the valuation is most sensitive to changes in the underlying common stock price. The company believes the model used to estimate fair value is reasonable and appropriate, but the reported dividend amount could change significantly in future periods based on changes in the underlying common stock price and the model inputs. After having paid the dividend in cash for several quarters, the board of directors decided to pay the dividend in-kind for the amount due in January 2012. In-kind dividends may continue at least throughout 2012, though the board of directors assesses available data quarterly before making that decision.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TRENDS, DEVELOPMENTS AND UNCERTAINTIES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Competitive Factors — </w:t>
      </w:r>
      <w:r>
        <w:rPr>
          <w:rFonts w:ascii="Arial" w:cs="Arial" w:eastAsia="Arial" w:hAnsi="Arial"/>
          <w:sz w:val="16"/>
          <w:szCs w:val="16"/>
          <w:color w:val="auto"/>
        </w:rPr>
        <w:t>Over the years, we have seen continued development and growth of competitors in all segments of our business. In particular, mass</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merchandisers and warehouse clubs, as well as grocery and drugstore chains, have increased their assortment of home office merchandise, attracting additional back-to-school customers and year-round casual shoppers. Warehouse clubs have expanded beyond their in-store assortment by adding catalogs and web sites from which a much broader assortment of products may be ordered. We also face competition from other office supply stores that compete directly with us in numerous markets. This competition is likely to result in increased competitive pressures on pricing, product selection and services provided. Many of these retail competitors, including discounters, warehouse clubs, and drug stores and grocery chains, carry basic office supply products. Some of them also feature technology products. Many of them may price certain of these offerings lower than we do, but they have not shown an indication of greatly expanding their somewhat limited product offerings at this time. This trend towards a proliferation of retailers offering a limited assortment of office products is a potentially serious trend in our industry that could shift purchasing away from office supply specialty retailers and adversely impact our results.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We have also seen growth in competitors that offer office products over the internet, featuring special purchase incentives and one-time deals (such as close-outs).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Through our own successful internet and business-to-business web sites, we believe that we have positioned ourselves competitively in the e-commerce arena.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Another trend in our industry has been consolidation, as competitors in office supply stores and the copy/print channel have been acquired and consolidated into larger, well-capitalized corporations. This trend towards consolidation, coupled with acquisitions by financially strong organizations, is potentially a significant trend in our industry that could impact our results.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consider these and other competitive factors when we establish both offensive and defensive aspects of our overall business strategy and operating plans.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Economic Factors </w:t>
      </w:r>
      <w:r>
        <w:rPr>
          <w:rFonts w:ascii="Arial" w:cs="Arial" w:eastAsia="Arial" w:hAnsi="Arial"/>
          <w:sz w:val="18"/>
          <w:szCs w:val="18"/>
          <w:color w:val="auto"/>
        </w:rPr>
        <w:t>— Our customers in the North American Retail Division and the International Division and many of our customers in the North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Solutions Division are predominantly small and home office businesses. Accordingly, these customers may continue to curtail their spending in reaction to macroeconomic conditions, such as changes in the housing market and commodity costs, credit availability and other factors. The downturn in the global economy experienced in recent years negatively impacted our sales and profits.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Liquidity Factors — </w:t>
      </w:r>
      <w:r>
        <w:rPr>
          <w:rFonts w:ascii="Arial" w:cs="Arial" w:eastAsia="Arial" w:hAnsi="Arial"/>
          <w:sz w:val="18"/>
          <w:szCs w:val="18"/>
          <w:color w:val="auto"/>
        </w:rPr>
        <w:t>Historically, we have generated positive cash flow from operating activities and have had access to broad financial markets that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we need to operate our business. Together, these sources have been used to fund operating and working capital needs, as well as invest in business expansion through new store openings, capital improvements and acquisitions. Due to the downturn in the global economy, our operating results have declined. We have in place an asset based credit facility to provide liquidity, subject to availability as specified in the agreement. Further deterioration in our financial results could negatively impact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ratings, our liquidity and our access to the capital markets. Certain of our existing indebtedness matures in 2013 and there can be no assurance that we will be able to refinance all or a portion of that indebtedness. If we are able to refinance all or a portion of that indebtedness, the terms of such refinancing will likely be less favorable than the terms of our existing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SENSITIVE RISKS AND POSITIONS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an enterprise risk management process patterned after the principles set out by the Committee of Sponsoring Organizations (COSO) in 2004. Management utilizes a common view of exposure identification and risk management. A process is in place for periodic risk reviews and identification of appropriate mitigation strategies.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market risk exposure related to interest rates, foreign currency exchange rates, and commodities. Market risk is measured as the potential negative impact on earnings, cash flows or fair values resulting from a hypothetical change in interest rates or foreign currency exchange rates over the next year. Interest rate changes on obligations may result from external market factors, as well as changes in our credit rating. We manage our exposure to market risks at the corporate level. The portfolio of interest-sensitive assets and liabilities is monitored to provide liquidity necessary to satisfy anticipated short-term needs. Our risk management policies allow the use of specified financial instruments for hedging purposes only; speculation on interest rates, foreign currency rates, or commodities is not permitted.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exposed to the impact of interest rate changes on cash, cash equivalents and debt obligations. The impact on cash and short-term investments held at the end of 2011 from a hypothetical 10% decrease in interest rates would be a decrease in interest income of less than $0.1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Market risk associated with our debt portfolio is summarized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62"/>
              <w:spacing w:after="0" w:line="12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5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87"/>
              </w:rPr>
              <w:t>Risk</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22"/>
              <w:spacing w:after="0" w:line="129" w:lineRule="exact"/>
              <w:rPr>
                <w:sz w:val="20"/>
                <w:szCs w:val="20"/>
                <w:color w:val="auto"/>
              </w:rPr>
            </w:pPr>
            <w:r>
              <w:rPr>
                <w:rFonts w:ascii="Arial" w:cs="Arial" w:eastAsia="Arial" w:hAnsi="Arial"/>
                <w:sz w:val="14"/>
                <w:szCs w:val="14"/>
                <w:color w:val="auto"/>
                <w:w w:val="90"/>
              </w:rPr>
              <w:t>Carrying</w:t>
            </w:r>
          </w:p>
        </w:tc>
        <w:tc>
          <w:tcPr>
            <w:tcW w:w="280" w:type="dxa"/>
            <w:vAlign w:val="bottom"/>
          </w:tcPr>
          <w:p>
            <w:pPr>
              <w:spacing w:after="0"/>
              <w:rPr>
                <w:sz w:val="11"/>
                <w:szCs w:val="11"/>
                <w:color w:val="auto"/>
              </w:rPr>
            </w:pPr>
          </w:p>
        </w:tc>
        <w:tc>
          <w:tcPr>
            <w:tcW w:w="780" w:type="dxa"/>
            <w:vAlign w:val="bottom"/>
          </w:tcPr>
          <w:p>
            <w:pPr>
              <w:jc w:val="right"/>
              <w:ind w:right="344"/>
              <w:spacing w:after="0" w:line="129" w:lineRule="exact"/>
              <w:rPr>
                <w:sz w:val="20"/>
                <w:szCs w:val="20"/>
                <w:color w:val="auto"/>
              </w:rPr>
            </w:pPr>
            <w:r>
              <w:rPr>
                <w:rFonts w:ascii="Arial" w:cs="Arial" w:eastAsia="Arial" w:hAnsi="Arial"/>
                <w:sz w:val="14"/>
                <w:szCs w:val="14"/>
                <w:color w:val="auto"/>
              </w:rPr>
              <w:t>Fair</w:t>
            </w:r>
          </w:p>
        </w:tc>
        <w:tc>
          <w:tcPr>
            <w:tcW w:w="30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4"/>
                <w:szCs w:val="14"/>
                <w:color w:val="auto"/>
              </w:rPr>
              <w:t>Risk</w:t>
            </w:r>
          </w:p>
        </w:tc>
        <w:tc>
          <w:tcPr>
            <w:tcW w:w="220" w:type="dxa"/>
            <w:vAlign w:val="bottom"/>
          </w:tcPr>
          <w:p>
            <w:pPr>
              <w:spacing w:after="0"/>
              <w:rPr>
                <w:sz w:val="11"/>
                <w:szCs w:val="11"/>
                <w:color w:val="auto"/>
              </w:rPr>
            </w:pPr>
          </w:p>
        </w:tc>
      </w:tr>
      <w:tr>
        <w:trPr>
          <w:trHeight w:val="175"/>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Sensitivity</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Value</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Value</w:t>
            </w: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Sensitivity</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$400 million senior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8"/>
              </w:rPr>
              <w:t>399,953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381,067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5"/>
              </w:rPr>
              <w:t>400,067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5"/>
              </w:rPr>
              <w:t>398,000</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4,800</w:t>
            </w:r>
          </w:p>
        </w:tc>
        <w:tc>
          <w:tcPr>
            <w:tcW w:w="220" w:type="dxa"/>
            <w:vAlign w:val="bottom"/>
            <w:shd w:val="clear" w:color="auto" w:fill="CCEEFF"/>
          </w:tcPr>
          <w:p>
            <w:pPr>
              <w:spacing w:after="0"/>
              <w:rPr>
                <w:sz w:val="18"/>
                <w:szCs w:val="18"/>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Asset based credit facility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6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52,488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4"/>
              <w:spacing w:after="0"/>
              <w:rPr>
                <w:sz w:val="20"/>
                <w:szCs w:val="20"/>
                <w:color w:val="auto"/>
              </w:rPr>
            </w:pPr>
            <w:r>
              <w:rPr>
                <w:rFonts w:ascii="Arial" w:cs="Arial" w:eastAsia="Arial" w:hAnsi="Arial"/>
                <w:sz w:val="18"/>
                <w:szCs w:val="18"/>
                <w:color w:val="auto"/>
              </w:rPr>
              <w:t>52,488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sensitivity of fixed rate debt reflects the estimated increase in fair value from a 50 basis point decrease in interest rates, calculated on a discounted cash flow basis. The sensitivity of variable rate debt reflects the possible increase in interest expense during the next period from a 50 basis point change in interest rates prevailing at year-end.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conduct business through entities in various countries outside the United States where their functional currency is not the U.S. dollar. While our company sells directly or indirectly to customers in 60 countries, the principal operations of our International Division are in countries with Euro, British Pound and Mexican Peso functional currencies. We continue to assess our exposure to foreign currency fluctuation against the U.S. dollar. As of December 31, 2011, a 10% change in the applicable foreign exchange rates would result in an increase or decrease in our pretax earnings of approximately $13 million.</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Although operations generally are conducted in the relevant local currency, we also are subject to foreign exchange transaction exposure when our subsidiaries transact business in a currency other than their own functional currency. This exposure arises primarily from inventory purchases in a foreign currency. At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31, 2011, there were no foreign exchange forward contracts hedging inventory exposures. This amount was $43 million at its highest point during 2011. Also, from time-to-time, we enter into foreign exchange forward transactions to protect against possible changes in exchange rates related to scheduled or anticipated cash movements among our operating entities.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Generally, we evaluate the performance of our international businesses by focusing on the “local currency” results of the business, and not with regard to the translation into U.S. dollars, as the latter is impacted by external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Commodities Risk</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a large network of stores and delivery centers around the world. As such, we purchase significant amounts of fuel needed to transport products to our stores and customers as well as pay shipping costs to import products from overseas. We are exposed to potential changes in the underlying commodity costs associated with this transport activity. As of December 31, 2011, a 10% change in domestic commodity costs would result in an increase or decrease in our operating profit of approximately $5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cannot determine the precise effects of inflation on our business, we do not believe inflation has had a material impact on our sales or the results of our operations. We consider our business to be only somewhat seasonal, with sales generally trending lower in the second quarter, following the “back-to-business” sales cycle in the first quarter and preceding the “back-to-school” sales cycle in the third quarter and the holiday sales cycle in the fourth quarter. Certain working capital components may build and recede during the year reflecting established selling cycles. Business cycles can and have impacted our operations and financial position when compared to other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Effective for the first quarter of 2012, a new accounting standard will require the presentation of net income and other comprehensive income either as a continuous statement or as two separate statements. The portion of the new standard which would require the presentation of reclassifications of other comprehensive income on the face of the income statement has been deferred. In past periods, we have presented the components of other comprehensive income as a separate statement for the full year and as a separate footnote for interim periods. We anticipate following the two statement format. The standard will not change the recognition or measurement of net income or other comprehensive income.</w:t>
      </w:r>
    </w:p>
    <w:p>
      <w:pPr>
        <w:spacing w:after="0" w:line="1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Also effective for the first quarter of 2012, a new accounting standard has been issued that is intended to achieve common fair value measurements and disclosure requirements between U.S. generally accepted accounting principles and International Financial Reporting Standards. This new standard amends current fair value guidance to include increased transparency around valuation inputs and investment categorization.</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Effective for 2012 testing for goodwill impairment, entities will have an option of performing a qualitative assessment before calculating the fair value of their reporting units. If, based on the qualitative assessment, an entity concludes it is more likely than not that the fair value of the reporting unit exceeds its carrying value, quantitative testing for impairment is not necessary. The company did not elect the early adoption that was available for 2011.</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effective for the first quarter of 2014, a new accounting standard will require disclosure of information about the effect or potential effect of financial instrument netting arrangements on the company’s financial position. Companies will be required to present both net (offset amounts) and gross information in the notes to the financial statements for relevant assets and liabilities that are offset.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Including the above, there are no recently issued accounting standards that are expected to have a material effect on our financial condition, results of operations or cash flows. However, the Financial Accounting Standards Board has issued proposed accounting rules relating to leasing transactions that, if passed in their current form, would have significant impacts to our financial statements. Among other things, the current proposal would create a right of use asset and corresponding liability on the balance sheet measured at the present value of minimum lease payments, record amortization of the right of use asset and implied interest of the liability on the statement of operations and characterize a portion of the lease payments as financing activities rather than operating activities on the statement of cash flow. These proposed changes in accounting rules would have no direct economic impact to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Securities Litigation Reform Act of 1995 (the “Reform Act”) provides protection from liability in private lawsuits for “forward-looking” statements made by public companies under certain circumstances, provided that the public company discloses with specificity the risk factors that may impact its future results. We want to take advantage of the “safe harbor” provisions of the Reform Act. This Annual Report on Form 10-K contains both historical information and other information that you can use to infer future performance. Examples of historical information include our annual financial statements and the commentary on past performance contained in our MD&amp;A. While we have specifically identified certain information as being forward-looking in the context of its presentation, we caution you that, with the exception of information that is historical, all the information contained in this Annual Report on Form 10-K should be considered to be “forward-looking statements” as referred to in the Reform Act. Without limiting the generality of the preceding sentence, any time we use the words “estimate,” “project,” “intend,” “expect,” “believe,” “anticipate,” “continue” and similar expressions, we intend to clearly express that the information deals with possible future events and is forward-looking in nature. Certain information in our MD&amp;A is clearly forward-looking in nature, and without limiting the generality of the preceding cautionary statements, we specifically advise you to consider all of our MD&amp;A in the light of the cautionary statements set forth herein.</w:t>
      </w:r>
    </w:p>
    <w:p>
      <w:pPr>
        <w:spacing w:after="0" w:line="3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information involves future risks and uncertainties. Much of the information in this report that looks towards future performance of our company is based on various factors and important assumptions about future events that may or may not actually come true. As a result, our operations and financial results in the future could differ materially and substantially from those we have discussed in the forward-looking statements in this Annual Report on Form 10-K. Significant factors that could impact our future results are provided in Item 1A. Risk Factors included in this Annual Report on Form 10-K. Other risk factors are incorporated into the text of our MD&amp;A, which should itself be considered a statement of future risks and uncertainties, as well as management’s view of our businesses.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the information in the “Market Sensitive Risks and Positions” subsection of Management’s Discussion and Analysis of Financial Condition and Results of Operation set forth in Item 7 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Item 15(a) in Part IV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Based on management’s evaluation which included the participation of the company’s Chief Executive Officer (“CEO”), and Chief Financial Officer (“CFO”), as of December 31, 2011, the company’s CEO and CFO concluded that the company’s disclosure controls and procedures (as defined in Rules 13a-15(e) and 15d-15(e) under the Securities Exchange Act of 1934, as amended (“the Act”)), were effective to provide reasonable assurance that information required to be disclosed by the company in reports that the company files or submits under the Act is recorded, processed, summarized and reported within the time periods specified in SEC rules and forms and that such information is accumulated and communicated to the company’s management, including the CEO and CFO, to allow timely decisions regarding required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remediation of a previously-identified material weakness discussed below, there have been no changes in the company’s internal control over financial reporting that occurred during the company’s most recent quarter that have materially affected, or are reasonably likely to materially affect, the company’s internal control over financial reporting. As a result of the identification of the issue that led to the restatements and the related reassessment of internal control over financial reporting in early April 2011, the company has developed certain remediation steps to address the previously identified material weakness and to improve its internal control over financial reporting. Specifically, the following steps have been implemented and as of December 31, 2011, the previously identified material weakness has been remediated:</w:t>
      </w:r>
    </w:p>
    <w:p>
      <w:pPr>
        <w:spacing w:after="0" w:line="185" w:lineRule="exact"/>
        <w:rPr>
          <w:sz w:val="20"/>
          <w:szCs w:val="20"/>
          <w:color w:val="auto"/>
        </w:rPr>
      </w:pPr>
    </w:p>
    <w:p>
      <w:pPr>
        <w:ind w:left="220" w:hanging="212"/>
        <w:spacing w:after="0" w:line="268"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level of review and validation of work performed by management and third-party tax professionals in the preparation of our provision for income taxes; and</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involvement of two third-party subject matter experts for material and complex tax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 strong internal control environment, and believe that these remediation actions represent significant improvements.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Office Depot is responsible for establishing and maintaining adequate internal control over financial reporting as defined in Rule 13a-15(f) under the Act. Our Internal Control structure is designed to provide reasonable assurance to our management and the board of directors regarding the reliability of financial reporting and the preparation and fair presentation of published financial statements.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evaluating our Internal Control, we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w:t>
      </w:r>
      <w:r>
        <w:rPr>
          <w:rFonts w:ascii="Arial" w:cs="Arial" w:eastAsia="Arial" w:hAnsi="Arial"/>
          <w:sz w:val="18"/>
          <w:szCs w:val="18"/>
          <w:color w:val="auto"/>
        </w:rPr>
        <w:t>. Based on our assessment, management has concluded that the company’s internal control over financial reporting was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2011.</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internal control over financial reporting as of December 31, 2011, has been audited by Deloitte &amp; Touche LLP, an independent registered public accounting firm, as stated in their report which is provided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980"/>
        <w:spacing w:after="0" w:line="441" w:lineRule="auto"/>
        <w:rPr>
          <w:sz w:val="20"/>
          <w:szCs w:val="20"/>
          <w:color w:val="auto"/>
        </w:rPr>
      </w:pPr>
      <w:r>
        <w:rPr>
          <w:rFonts w:ascii="Arial" w:cs="Arial" w:eastAsia="Arial" w:hAnsi="Arial"/>
          <w:sz w:val="18"/>
          <w:szCs w:val="18"/>
          <w:b w:val="1"/>
          <w:bCs w:val="1"/>
          <w:color w:val="auto"/>
        </w:rPr>
        <w:t xml:space="preserve">REPORT OF THE INDEPENDENT REGISTERED PUBLIC ACCOUNTING FIRM </w:t>
      </w:r>
      <w:r>
        <w:rPr>
          <w:rFonts w:ascii="Arial" w:cs="Arial" w:eastAsia="Arial" w:hAnsi="Arial"/>
          <w:sz w:val="18"/>
          <w:szCs w:val="18"/>
          <w:color w:val="auto"/>
        </w:rPr>
        <w:t>To the Board of Directors and Stockholders of Office Depot, Inc.:</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Office Depot, Inc. and subsidiaries (the “Company”)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fiscal year ended December 31, 2011 of the Company and our report dated February 28, 2012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2012, the company announced commencement of a cash tender offer to purchase up to $250.0 million aggregate principal amount of its outstanding 6.25% Senior Notes due 2013. The tender offer is scheduled to expire at midnight, New York City time, on March 16, 2012, unless extended or earlier terminated.</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24, 2012, the company, together with certain of its European subsidiaries, as borrowers and certain of its domestic subsidiaries as guarantors, entered into an amendment (the “Amendment”) to the Amended Credit Agreement with the lenders party thereto, JPMorgan Chase Bank, N.A., London Branch, as European Administrative Agent and European Collateral Agent, JPMorgan Chase Bank, N.A., as Administrative Agent and US Collateral Agent, Bank of America, N.A., as Syndication Agent and Citibank, N.A. and Wells Fargo Bank, N.A., as Documentation Agents. The Amendment amends the Amended Credit Agreement to provide the company flexibility with regard to certain restrictive covenants in any possible refinancings and other transactions. In addition, the Amendment releases one of the company’s subsidiaries from its guarantee obligations under the Amended Credit Agreement.</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foregoing description of the Amendment which describes the primary changes to the Amended Credit Agreement, does not purport to be complete and is subject to and qualified in its entirety by reference to the full text of the Amendment, which is filed as an Exhibit to this Form 10-K.</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on February 24, 2012, the company entered into a two-year committed factoring arrangement that allows us to sell certain foreign trade receivables to a third party which provides up to approximately $75 million additional liquidity, depending on the level of eligible receivables and currency exchange rates. As of February 27, 2012, no trade receivables had been sold under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names of our current directors and related biographical information are set forth below. The names of our current executive officers and related biographical information are set forth under Item 1 of this Form 10-K under the caption “Executive Officers of the Registrant.”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NEIL R. AUSTRIAN — AGE: 72</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Mr. Austrian has served as a Director on our Board since 1998. Mr. Austrian has served as Chair and Chief Executive Officer (“Chair and CEO”) of the company since May 2011, prior to which he was Interim Chair and CEO since November 2010. He also served in the Interim role from October 2004 through March 2005. Mr. Austrian has in-depth insights into the company’s operations and its management which uniquely qualifies him for serving on our company’s Board. In addition, Mr. Austrian’s experience as President and Chief Operating Officer of the National Football League from April 1991 until December 1999, makes him well suited to understand and oversee the complex managerial, strategic and financial considerations necessary to serve on the board of a corporation such as Office Depot. His experience at Dillon Reed &amp; Co. Inc. as Managing Director from October 1987 until March 1991 provided him with a sound footing in finance, investment banking and deal negotiation. In addition, Mr. Austrian served as the Chief Financial Officer of Doyle Berbach Advertising, a public advertising agency, from 1974 until 1978, which enhanced his finance, marketing, and strategic experience. Mr. Austrian’s knowledge of all aspects of the direct sales business gained while serving as a director of Viking Office Products from 1988 until August 1998 when it merged with Office Depot, further strengthens his knowledge of our industry. Mr. Austrian also serves as a director of the DirecTV Group.</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JUSTIN BATEMAN — AGE: 38</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Bateman has served as a Director on our Board since June 2009. He is a senior Partner with BC Partners, the U.S. investment arm of which he co-established in early 2008, and is based in the firm’s New York office. Mr. Bateman initially joined BC Partners’ London office in 2000 from PricewaterhouseCoopers, where he spent three years in Transaction Services working on due diligence projects for both financial investors and corporate clients. In 2002 he left BC Partners to complete his MBA at INSEAD before rejoining the BC Partners London office. Over the years Mr. Bateman has participated in or been a board member of General Healthcare Group, Baxi Holdings, Ltd. and Regency Entertainment. He is currently a director of Intelsat S.A., the leading international provider of fixed satellite services. Mr. Bateman was appointed as a Director of the company pursuant to the terms of the Investor Rights Agreement in connection with the company’s private equity investment transaction with BC Partners. Mr. Bateman serves as a non-voting observer on the Audit Committee and his experience as a chartered accountant and understanding of accounting issues is helpful in fulfilling the committee’s oversight responsibilities. Mr. Bateman’s analysis of and participation in the oversight of BC Partners portfolio companies provides him with the skills he needs to assist the company with its strategic planning process. Mr. Bateman’s education and experience in business and finance allows him to provide the Board significant managerial, strategic, financial and compliance-based expertise.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J. COLLIGAN — AGE: 67</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Colligan has served as a Director on our Board since January 2010. He served as Vice Dean of The Wharton School’s Aresty Institute of Executive Education from 2007 to June 2010 where he was responsible for the non-degree executive education programs. From 2004 to 2007, Mr. Colligan served as a managing director at Duke Corporate Education, a corporation that provides custom executive education and is affiliated with Duke University’s Fuqua School of Business. Prior to joining Duke Corporate Education, he was Vice Chairman of PricewaterhouseCoopers LLP from 2001 to 2004 and served there in other capacities from 1969 to 2004, including as a partner. Mr. Colligan also has advised Fortune 500 companies in various industries, including technology, telecommunications, pharmaceuticals and consumer products. Mr. Colligan is currently a director of CNH Global, N.V., and Targus Group International, Inc., a non-public company and leading global supplier of notebook carrying cases and accessories. He previously served as a director of Schering-Plough Corporation, Anesiva, Inc. and Educational Management Corporation. Mr. Colligan’s experience as a former audit partner and Vice Chairman of PricewaterhouseCoopers qualifies him to serve on the Board of Directors and to provide guidance to the company’s internal audit function. In addition, Mr. Colligan’s former position as Vice Dean of The Wharton School’s Aresty Institute of Executive Education and his previous position as Managing Director at Duke Corporate Education have provided him a broad based understanding of new and developing business strategies that are helpful to our Board.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 J. EVANS — AGE: 64</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Ms. Evans has served as a Director on our Board since 2006. Ms. Evans was acting Commissioner of the Ladies Professional Golf Association from July 2009 to January 2010, President and Chief Executive Officer of the American Red Cross from 2002 to 2005, and National Executive Director of The Girl Scouts of the USA from 1998 to 2002. Ms. Evans retired from the U.S. Navy in 1998 with the rank of Rear Admiral. From 1995 to 1998 Ms. Evans served as superintendent of the Naval Postgraduate School in Monterey, California and from 1993 to 1995 she led the Navy’s worldwide recruitment organization, during which time she developed extensive human resources experience. Ms. Evans also served as a director of Huntsman Corporation from 2005 to 2011. Currently, she is also a Director of Weight Watchers International, the North Highland Company and The Estate of Lehman Brothers Holdings. Ms. Evans brings significant leadership experience to our Board of Directors and the Board relies on her perspectives on human resources and governance issues.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BRENDA J. GAINES — AGE: 62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Ms. Gaines has been a Director on our Board since 2002. Ms. Gaines retired in 2004 from her position as President and Chief Executive Officer of Diners Club North America, a Division of Citigroup, a position she held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2002. She served as President of Diners Club North America from 1999 until 2002 and from 1994 until 1999, she served as Executive Vice President, Corporate Card Sales. Prior to that she served in various positions of increasing responsibility within Citigroup or its predecessor corporations since 1988. From 1985 until 1987, Ms. Gaines was Deputy Chief of Staff for the Mayor of the City of Chicago. She is currently a director of AGL Resources, the Federal National Mortgage Association (Fannie Mae) and Tenet Healthcare Corporation, and is on the National Board of the Smithsonian Institution. Ms. Gaines also served as a director of CNA Financial Corp. from 2004 to 2007 and NICOR, Inc. from 2006 to 2011 and has served as a board member of the non-profit organization March of Dimes. Ms. Gaines has significant experience in financial services, including the credit card and payment industry. As Chief Executive Officer of Diners Club North America, she managed a company with three distinct customer groups, that included retail consumers, small businesses and large multinational corporations. While working as the Deputy Chief of Staff for the Mayor of the City of Chicago, Ms. Gaines developed valuable experience working with public agencies, which represent one of the company’s larger customer segments. This experience enables her to provide insights into the company’s core customers as well as the company’s products and services. Ms. Gaines has held a number of executive and board leadership positions in a number of public companies. Ms. Gaines’ service on other public company boards allows her to provide the Board of Directors with a variety of perspectives on corporate governance issues.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MYRA M. HART — AGE: 71</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Ms. Hart has served as a Director on our Board since 2004. She is currently a member of Harvard Business School’s senior faculty. From 1995 to 2007, she served as Professor, Entrepreneurial Management, at the Harvard Business School. In 2007 and 2008, she was a visiting scholar at Babson College and Stanford University, respectively. From 1985 until 1990, Dr. Hart was a member of the Staples, Inc. founding management team, leading operations, growth and development. She is a Director of Nina McLemore, Inc. and Kraft Foods, Inc. and a former director of Summer Infant, Inc. and Royal Ahold. Dr. Hart is also a member of the National Board of the Smithsonian Institution, and Trustee Emeritus of Cornell University. Dr. Hart’s experience in the industry enables her to share with our Board suggestions about how similarly-situated companies effectively assess and undertake business considerations and opportunities. In addition, as a member of Harvard Business School’s senior faculty, Dr. Hart has been able to offer Office Depot a variety of business management solutions that are grounded in policies and practices taught at the business school. Dr. Hart’s service on other public, private and non-profit boards also provides our Board with a diverse knowledge of best practices.</w:t>
      </w:r>
    </w:p>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February 21, 2012 Ms. Hart informed the Board that she will not be standing for re-election for the coming year, and that her service as a director will end effective the date of the Annual Meeting of Shareholders to be held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SCOTT HEDRICK — AGE: 66</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Hedrick has been a Director on our Board since 1991. From November 1986 until April 1991, he was a Director of The Office Club, Inc., which was acquired by Office Depot in 1991. Mr. Hedrick was appointed Lead Director in February 2011. He was a founder and has been a general partner of InterWest Partners, a venture capital fund, since 1979. Mr. Hedrick is also a director of Hot Topic, Inc. and a cluster of mutual funds managed by Capital Research and Management Company. As one of our longest-serving non-executive Directors, Mr. Hedrick brings an important institutional knowledge to our Board. His work with InterWest provides him with a solid basis for his analysis of our financial strategies. Mr. Hedrick’s service on the board of Hot Topic, Inc. gives him another view of the issues affecting retailers, which is useful to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KATHLEEN MASON — AGE: 62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Mason has served as a Director on our Board since 2006. She currently serves as President and Chief Executive Officer of Tuesday Morning Corporation and has served in that position since July 2000. From July 1999 to November 1999, Ms. Mason served as President of Filene’s Basement, a department store chain.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January 1997 to June 1999, Ms. Mason was President of HomeGoods, an off-price home fashion store and a subsidiary of TJX Companies. Ms. Mason was Chair and Chief Executive Officer of Cherry &amp; Webb, a women’s specialty store, from February 1987 to December 1996. Prior to those dates, she held management positions at Kaufmann’s Division of the May Company, Mervyn’s Division of Target, Inc. and the Limited. She is currently a director of Genesco, Inc. and previously served as a director of The Men’s Warehouse, Inc., and of Hot Topic, Inc. Ms. Mason’s senior executive positions at various large national retail companies gives her the experience to critically review the various business considerations necessary to run a successful consumer-driven business such as our North American Retail Division. Ms. Mason’s broad exposure to numerous retailers provides our Board with relevant comparisons and her extensive retail knowledge gives her an insight into a number of issues facing Office Depot. As a sitting chief executive officer of a public retail company, Ms. Mason is able to offer our Board of Directors sound business and financial strategies to address evolving complex audit issues.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S. RUBIN — AGE: 44</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Rubin has served as a Director on our Board since June 2009. He is a Senior Partner of BC Partners, which he joined in May 2008 from One Equity Partners, where he was a founding partner since its inception in 2001. Mr. Rubin originated and executed transactions in a variety of industries with a particular focus on healthcare and business services and was also responsible for building One Equity’s practice in India. Prior to forming One Equity, Mr. Rubin was a Vice President with Allen &amp; Company Incorporated, a New York merchant bank specializing in media and entertainment transactions and advisory work. From 1996 to 1998, he held a number of senior policy positions with the Federal Communications Commission. Mr. Rubin is currently a board member of ATI Enterprises, a private post-secondary education company, and MultiPlan, one of the largest independent preferred provider organizations in the U.S. He is a member of the board of trustees of the Brookings Institute and the New York City non-profit Common Ground Communities, and serves on the board of The Dalton School. Mr. Rubin was appointed as a Director pursuant to the terms of the Investor Rights Agreement in connection with the company’s private equity investment transaction with BC Partners. Mr. Rubin’s extensive background in the financial services industry allows him to provide proven financial advice to our Board. Mr. Rubin brings significant business and finance experience to our Board of Directors and provides new strategies and solutions to address an increasingly complex business environment.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RAYMOND SVIDER — AGE: 49</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Svider has served as a Director on our Board since June 2009. He has been co-Chairman of BC Partners since December 2008 and has been a Managing Partner of the firm since 2003. Mr. Svider joined BC Partners in 1992 in Paris before moving to London in 2000 to lead its investments in the technology and telecoms industries. Over the years, Mr. Svider has participated in or led a variety of investments including Tubesca, Nutreco, UTL, Neopost, Polyconcept, Neuf Telecom, Unity Media/Tele Columbus, and Intelsat S.A. He is currently Chairman of the board, the audit and compensation committees of Intelsat S.A., and a member of the board of ATI Enterprises, a private post-secondary education company, and MultiPlan, one of the largest independent preferred provider organizations in the U.S. Prior to joining BC Partners, Mr. Svider worked in investment banking at Wasserstein Perella in New York and Paris, and at the Boston Consulting Group in Chicago. Mr. Svider was appointed as a Director on our Board pursuant to the terms of the Investor Rights Agreement in connection with the company’s private equity investment transaction with BC Partners. As a Managing Partner of BC Partners since 2003, Mr. Svider has demonstrated significant leadership abilities and extensive knowledge of complex financial and operational issues facing large organizations. He brings an expertise in international operations and financial strategy to our Board of Directors. In addition, through his oversight of BC Partners portfolio companies, Mr. Svider has significant experience in developing various strategies to motivate and compensate executives.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Board of Directors has determined that nine (9) of the ten (10) directors satisfy the New York Stock Exchange’s (the “NYSE”) definition of independent Director. Mr. Austrian is not independent. The Board of Directors believes in strong and independent Directors. The Board of Directors evaluates the independence of each nominee for election as a Director of our company in accordance with the Corporate Governance Guidelines, which incorporate the applicable listing standards of the NYSE. The Corporate Governance Guidelines require that a majority of our Board of Directors must be “Independent” within the meaning of the NYSE’s listing standards (“Independent Directors”), and all Directors who sit on our Audit Committee (the “Audit Committee”), Compensation Committee (the “Compensation Committee”) and Corporate Governance and Nominating Committee, must also be Independent Directors.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members of our Audit Committee, Compensation Committee and Corporate Governance and Nominating Committee have been determined by our Board of Directors to be Independent Directors. Our Board of Directors has reviewed the various relationships between members of our Board of Directors and the company and has affirmatively determined that none of our Directors has a material relationship with the company that would impair independence from management, other than Mr. Austrian, who serves as Chairman and Chief Executive Officer. Our Board of Directors has also determined that Messrs. Bateman, Rubin and Svider are affiliates of the company due to BC Partners’ stock ownership of the company. The Board of Directors concluded that a relationship with a shareholder of the company in and of itself does not impair Messrs. Bateman, Rubin and Svider’s independent judgment in connection with their duties and responsibilities as Directors of the company. The Board also determined that Mr. Colligan, who serves as a Director of an entity that sells products to the company, is independent.</w:t>
      </w:r>
    </w:p>
    <w:p>
      <w:pPr>
        <w:spacing w:after="0" w:line="1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all members of our Board of Directors other than Mr. Austrian, due to his CEO position, have been determined to be Independent Directors. This determination by our Board of Directors is based upon an individual evaluation of each of our Directors, his or her employment or Board of Directors affiliations, and a determination that the Independent Director has no business relationship with our company other than his or her service on our Board of Directors. None of our Directors serves as an executive officer of a charitable organization to which we made contributions during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Board of Directors has an active role in overseeing management of the company’s risks, directly and through its Committees. The Board oversees a formal enterprise-wide approach to risk management, designed to support the achievement of organizational objectives, including strategic objectives, to improve long-term organizational performance and enhance shareholder value. A fundamental part of risk management is not only understanding the risks a company faces and what steps management is taking to manage those risks, but also understanding what level of risk is appropriate for the company. The involvement of the full Board of Directors in setting the company’s business strategy is a key part of its assessment of management’s appetite for risk and also a determination of what constitutes an appropriate level of risk for the company. The full Board of Directors participates in an annual enterprise risk management assessment, which is led by the company’s Chief Compliance Officer. In the company’s continuing risk assessment process, risk is assessed quarterly by a Steering Committee (the “Steering Committee”), comprised of members of management representing our business units and corporate staff. This Steering Committee focuses on identifying and evaluating company-wide risks in four primary areas: financial risk, legal/compliance risk, operational/strategic risk and compensation risk. This company-wide risk portfolio is then presented to and evaluated by the Operating Committee, made up of our Chief Executive Officer, Executive Vice President &amp; Chief Financial Officer, Business Unit Presidents, Executive Vice President &amp; Chief Marketing Officer, Executive Vice President &amp; Chief Merchandising Officer, Executive Vice President of Human Resources, and our Executive Vice President &amp; General Counsel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(collectively, the “Operating Committee”). The Operating Committee membership was expanded to include the Executive Vice President &amp; Chief Marketing Officer and Executive Vice President &amp; Chief Merchandising Officer positions in order to further strengthen the risk oversight function in these areas of the company’s business. The findings are then presented to the Board of Directors. In addition to the presentation made to the full Board of Directors at least once a year, the Audit Committee receives quarterly updates on certain risk areas the Board has identified for focus and the Independent Directors periodically discuss risk management during executive sessions without management present.</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the Board of Directors has the ultimate oversight responsibility for the risk management process, various Committees of the Board of Directors also have responsibility for risk management. In particular, the Audit Committee focuses on assessing and mitigating financial risk, including internal controls, and receives an annual risk assessment report from the company’s internal auditors. As part of its annual executive compensation review in setting executive compensation, the Compensation Committee reviews the company’s management of executive compensation and retention risks and strives to create incentives that encourage a level of risk-taking behavior consistent with the company’s business strategy. The Audit and Compensation Committees annually have a joint meeting to review incentive compensation plans for a risk assessment. The Corporate Governance and Nominating Committee assists the Board in fulfilling its oversight responsibilities with respect to the management of risks associated with Board organization, membership and structure, succession planning for our Directors and Named Executive Officers (“NEOs”), and corporate governance.</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From time to time the company may engage in purchase and sale transactions for office products with BC Partners or its portfolio companies. These transactions are conducted on an arms length basis and are not material to BC Partners.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 separately-designated standing audit committee composed of the following members: Thomas J. Colligan who is the chair of the Audit Committee, Brenda J. Gaines, Myra M. Hart, and Kathleen Mason.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members of the Audit Committee have been determined by the Board of Directors to be Independent Directors and financially literate. In addition, our Board of Directors has determined that the following members of our Audit Committee qualify as “Audit Committee financial experts” within the meaning of the applicable regulations of the SEC: Thomas J. Colligan, Brenda J. Gaines and Kathleen Mason.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10% of Office Depot’s common stock to file reports of their holdings and transactions of Office Depot common stock with the SEC and the NYSE. Based on our records, we believe that each of our officers and Directors reported on a timely basis all transactions required to be reported by Section 16(a) during fiscal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Code of Ethical Behavior is in compliance with applicable rules of the SEC that applies to our principal executive officer, our principal financial officer, and our principal accounting officer or controller, or persons performing similar functions. A copy of the Code of Ethical Behavior is available free of charge on the “Investor Relations” section of our web site at </w:t>
      </w:r>
      <w:r>
        <w:rPr>
          <w:rFonts w:ascii="Arial" w:cs="Arial" w:eastAsia="Arial" w:hAnsi="Arial"/>
          <w:sz w:val="18"/>
          <w:szCs w:val="18"/>
          <w:u w:val="single" w:color="auto"/>
          <w:color w:val="auto"/>
        </w:rPr>
        <w:t>www.officedepot.com</w:t>
      </w:r>
      <w:r>
        <w:rPr>
          <w:rFonts w:ascii="Arial" w:cs="Arial" w:eastAsia="Arial" w:hAnsi="Arial"/>
          <w:sz w:val="18"/>
          <w:szCs w:val="18"/>
          <w:color w:val="auto"/>
        </w:rPr>
        <w:t>. We intend to satisfy any disclosure requirement under Item 5.05 of Form 8-K regarding an amendment to, or waiver from, a provision of this Code of Ethical Behavior by posting such information on our web site at the address and location specified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Discussion and Analysis (“CD&amp;A”) describes our executive compensation programs for fiscal 2011 and explains how the Compensation Committee made its compensation decisions for our named executive officers (“NEOs”). The NEOs for 2011 are:</w:t>
      </w:r>
    </w:p>
    <w:p>
      <w:pPr>
        <w:spacing w:after="0" w:line="172"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and Chief Executive Officer, Neil Austrian;</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Michael Newman;</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North America, Kevin Peters;</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International, Steven Schmidt;</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Vice President, General Counsel and Corporate Secretary, Elisa Garcia;</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Former President, International, Charlie Brown; and</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Former Executive Vice President, Human Resources, Daisy Vanderlinde.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2011</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made measurable progress in 2011 in improving financial performance despite a lackluster global economy. Our executives successfully executed key business initiatives that are yielding early positive results. In particular, our Chairman and Chief Executive Officer has made significant progress achieving key objectives established by the Board in order to strategically position the company for a positive impact on performance in 2011 and later years. A more detailed discussion of these other key objectives can be found in “2011 Key Management Objectives and NEO Compensation” later in this CD&amp;A.</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key financial measures on which our 2011 annual cash bonus plan was based are: earnings before interest and taxes (“EBIT”), free cash flow, and gross profit dollars, all as adjusted. The company achieved at or above the threshold level for each of these three metrics. Accordingly, all of our NEOs, except former executives Mr. Brown and Ms. Vanderlinde, earned an annual cash bonus at 86% of target for fiscal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2011 Management Changes</w:t>
      </w:r>
    </w:p>
    <w:p>
      <w:pPr>
        <w:spacing w:after="0" w:line="212" w:lineRule="exact"/>
        <w:rPr>
          <w:sz w:val="20"/>
          <w:szCs w:val="20"/>
          <w:color w:val="auto"/>
        </w:rPr>
      </w:pPr>
    </w:p>
    <w:p>
      <w:pPr>
        <w:jc w:val="both"/>
        <w:ind w:left="440" w:hanging="324"/>
        <w:spacing w:after="0" w:line="25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Appointment of Mr. Austrian as Chairman and Chief Executive Officer</w:t>
      </w:r>
      <w:r>
        <w:rPr>
          <w:rFonts w:ascii="Arial" w:cs="Arial" w:eastAsia="Arial" w:hAnsi="Arial"/>
          <w:sz w:val="18"/>
          <w:szCs w:val="18"/>
          <w:color w:val="auto"/>
        </w:rPr>
        <w:t>: In May 2011, the Board elected Mr. Austrian, who was serving as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and Chief Executive Officer (“Interim Chair and CEO”) at the time, to serve as the company’s Chairman and Chief Executive Officer (“Chair and CEO”).</w:t>
      </w:r>
    </w:p>
    <w:p>
      <w:pPr>
        <w:spacing w:after="0" w:line="180" w:lineRule="exact"/>
        <w:rPr>
          <w:rFonts w:ascii="Arial" w:cs="Arial" w:eastAsia="Arial" w:hAnsi="Arial"/>
          <w:sz w:val="18"/>
          <w:szCs w:val="18"/>
          <w:color w:val="auto"/>
        </w:rPr>
      </w:pPr>
    </w:p>
    <w:p>
      <w:pPr>
        <w:jc w:val="both"/>
        <w:ind w:left="440" w:hanging="324"/>
        <w:spacing w:after="0" w:line="255"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Consolidation of North America Division</w:t>
      </w:r>
      <w:r>
        <w:rPr>
          <w:rFonts w:ascii="Arial" w:cs="Arial" w:eastAsia="Arial" w:hAnsi="Arial"/>
          <w:sz w:val="18"/>
          <w:szCs w:val="18"/>
          <w:color w:val="auto"/>
        </w:rPr>
        <w:t>: In July 2011, Mr. Austrian changed the company’s reporting structure by combining the reporting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North America Retail Division and its Business Solutions Division into one new North America Division. Mr. Peters, formerly the President, North America Retail, was promoted to the new position of President, North America. In addition, Mr. Schmidt, who was formerly the President, Business Solutions Division, became the company’s new Executive Vice President, Corporate Strategy and New Business Development. Mr. Peters also assumed responsibility for the company’s supply chain in February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line="26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Appointment of new President, International Division</w:t>
      </w:r>
      <w:r>
        <w:rPr>
          <w:rFonts w:ascii="Arial" w:cs="Arial" w:eastAsia="Arial" w:hAnsi="Arial"/>
          <w:sz w:val="18"/>
          <w:szCs w:val="18"/>
          <w:color w:val="auto"/>
        </w:rPr>
        <w:t>: In November 2011, Mr. Schmidt became President, International following Mr. Brown’s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employment.</w:t>
      </w:r>
    </w:p>
    <w:p>
      <w:pPr>
        <w:spacing w:after="0" w:line="172"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Additional duties for Executive Vice President and Chief Financial Officer</w:t>
      </w:r>
      <w:r>
        <w:rPr>
          <w:rFonts w:ascii="Arial" w:cs="Arial" w:eastAsia="Arial" w:hAnsi="Arial"/>
          <w:sz w:val="18"/>
          <w:szCs w:val="18"/>
          <w:color w:val="auto"/>
        </w:rPr>
        <w:t>: Mr. Newman assumed additional duties in 2011 including, from July until</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2012, management of the company’s Supply Chain, and from July until Mr. Schmidt’s November 2011 appointment as President, International, Mr. Newman also managed the company’s Mexico and Latin America operations.</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2011, there was no change in base salary or target bonus percentage under the annual cash bonus plan in connection with any of these position or responsibility changes other than Mr. Austrian’s appointment as Chair and CEO as described in the “Summary of Key 2011 Compensation Decisions” later in this CD&amp;A.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Key 2011 Compensation Decisions</w:t>
      </w:r>
    </w:p>
    <w:p>
      <w:pPr>
        <w:spacing w:after="0" w:line="212" w:lineRule="exact"/>
        <w:rPr>
          <w:sz w:val="20"/>
          <w:szCs w:val="20"/>
          <w:color w:val="auto"/>
        </w:rPr>
      </w:pPr>
    </w:p>
    <w:p>
      <w:pPr>
        <w:jc w:val="both"/>
        <w:ind w:left="440" w:hanging="324"/>
        <w:spacing w:after="0" w:line="286"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Chair and CEO compensation</w:t>
      </w:r>
      <w:r>
        <w:rPr>
          <w:rFonts w:ascii="Arial" w:cs="Arial" w:eastAsia="Arial" w:hAnsi="Arial"/>
          <w:sz w:val="16"/>
          <w:szCs w:val="16"/>
          <w:color w:val="auto"/>
        </w:rPr>
        <w:t>: In connection with his appointment as Chair and CEO in May 2011, the Compensation Committee negotiated,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approved, a new letter agreement with Mr. Austrian that superseded and replaced Mr. Austrian’s interim letter agreement entered into in November 2010. Under the new letter agreement, Mr. Austrian is eligible to receive an annual base salary of $1,100,000, which is less than what he was eligible to receive as Interim Chair and CEO. Mr. Austrian’s other compensation (excluding his time-based restricted stock grant) represents 53% of his total compensation and is at-risk. The Compensation Committee felt it was critical that the Chair and CEO compensation be linked to improving shareholder value. This was accomplished through two equity grants, one of which vests based on performance and service requirements while the other vests based on service requirements only. The company and Mr. Austrian also entered into a change in control agreement which contains the same provisions as the change in control agreements provided to the other NEOs and requires the double trigger of a change in control and termination before any severance benefits become payable, as further described under the “Summary of Executive Agreements and Potential Payments Upon A Change In Control” section. Mr. Austrian is not entitled to severance upon termination prior to a change in control. In July 2011, the parties amended Mr. Austrian’s letter agreement to change the cash bonus performance and payment periods from a quarterly to an annual basis, to align with the performance and payment periods in effect for the other NEOs. There are no gross-up provisions in any of the arrangements with the Chair and CEO.</w:t>
      </w:r>
    </w:p>
    <w:p>
      <w:pPr>
        <w:spacing w:after="0" w:line="164" w:lineRule="exact"/>
        <w:rPr>
          <w:rFonts w:ascii="Arial" w:cs="Arial" w:eastAsia="Arial" w:hAnsi="Arial"/>
          <w:sz w:val="16"/>
          <w:szCs w:val="16"/>
          <w:color w:val="auto"/>
        </w:rPr>
      </w:pPr>
    </w:p>
    <w:p>
      <w:pPr>
        <w:jc w:val="both"/>
        <w:ind w:left="440" w:hanging="324"/>
        <w:spacing w:after="0" w:line="306"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NEO base salary and target incentive compensation levels for 2011 remain at the same levels as 2010</w:t>
      </w:r>
      <w:r>
        <w:rPr>
          <w:rFonts w:ascii="Arial" w:cs="Arial" w:eastAsia="Arial" w:hAnsi="Arial"/>
          <w:sz w:val="16"/>
          <w:szCs w:val="16"/>
          <w:color w:val="auto"/>
        </w:rPr>
        <w:t>: As part of its annual compensation review for NEOs,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decided to maintain the existing base salary and target incentive compensation levels for NEOs for 2011, as further described in the “2011 Key Management Objectives and NEO Compensation” section later in this CD&amp;A.</w:t>
      </w:r>
    </w:p>
    <w:p>
      <w:pPr>
        <w:spacing w:after="0" w:line="147" w:lineRule="exact"/>
        <w:rPr>
          <w:rFonts w:ascii="Arial" w:cs="Arial" w:eastAsia="Arial" w:hAnsi="Arial"/>
          <w:sz w:val="16"/>
          <w:szCs w:val="16"/>
          <w:color w:val="auto"/>
        </w:rPr>
      </w:pPr>
    </w:p>
    <w:p>
      <w:pPr>
        <w:jc w:val="both"/>
        <w:ind w:left="440" w:hanging="324"/>
        <w:spacing w:after="0" w:line="25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Changes to Annual Cash Bonus metrics: </w:t>
      </w:r>
      <w:r>
        <w:rPr>
          <w:rFonts w:ascii="Arial" w:cs="Arial" w:eastAsia="Arial" w:hAnsi="Arial"/>
          <w:sz w:val="18"/>
          <w:szCs w:val="18"/>
          <w:color w:val="auto"/>
        </w:rPr>
        <w:t>The Compensation Committee changed two of the 2010 annual bonus metrics for fiscal 2011 as follows: (i) from</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Before Interest, Taxes, Depreciation, and Amortization (“EBITDA”) to EBIT to align with divisional metrics which focused on improving operating performance while continuing to reduce costs to drive earnings improvement, and (ii) from sales to gross profit dollars to focus the NEOs on profitable sales. The third metric, free cash flow, which was chosen to ensure ongoing liquidity and retention of creditor and vendor confidence, remained the same as the 2010 metric. The 2011 bonus metrics were designed to allow a leveraging up if objectives were “over achieved” or down if below target, but above threshold, performance resulted.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2011 Annual Cash Bonus payout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Due to the company’s 2011 financial performance, the NEOs (except for Mr. Brown and Ms. Vanderlinde) received a bonus at 86% of target as detailed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right="284"/>
              <w:spacing w:after="0"/>
              <w:rPr>
                <w:sz w:val="20"/>
                <w:szCs w:val="20"/>
                <w:color w:val="auto"/>
              </w:rPr>
            </w:pPr>
            <w:r>
              <w:rPr>
                <w:rFonts w:ascii="Arial" w:cs="Arial" w:eastAsia="Arial" w:hAnsi="Arial"/>
                <w:sz w:val="14"/>
                <w:szCs w:val="14"/>
                <w:b w:val="1"/>
                <w:bCs w:val="1"/>
                <w:color w:val="auto"/>
                <w:w w:val="88"/>
              </w:rPr>
              <w:t>Target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5"/>
              </w:rPr>
              <w:t>Threshold</w:t>
            </w:r>
          </w:p>
        </w:tc>
        <w:tc>
          <w:tcPr>
            <w:tcW w:w="340" w:type="dxa"/>
            <w:vAlign w:val="bottom"/>
          </w:tcPr>
          <w:p>
            <w:pPr>
              <w:spacing w:after="0"/>
              <w:rPr>
                <w:sz w:val="12"/>
                <w:szCs w:val="12"/>
                <w:color w:val="auto"/>
              </w:rPr>
            </w:pPr>
          </w:p>
        </w:tc>
        <w:tc>
          <w:tcPr>
            <w:tcW w:w="10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7"/>
              </w:rPr>
              <w:t>Parameter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3260" w:type="dxa"/>
            <w:vAlign w:val="bottom"/>
          </w:tcPr>
          <w:p>
            <w:pPr>
              <w:spacing w:after="0"/>
              <w:rPr>
                <w:sz w:val="12"/>
                <w:szCs w:val="12"/>
                <w:color w:val="auto"/>
              </w:rPr>
            </w:pPr>
          </w:p>
        </w:tc>
        <w:tc>
          <w:tcPr>
            <w:tcW w:w="270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Award</w:t>
            </w:r>
          </w:p>
        </w:tc>
        <w:tc>
          <w:tcPr>
            <w:tcW w:w="320" w:type="dxa"/>
            <w:vAlign w:val="bottom"/>
          </w:tcPr>
          <w:p>
            <w:pPr>
              <w:spacing w:after="0"/>
              <w:rPr>
                <w:sz w:val="12"/>
                <w:szCs w:val="12"/>
                <w:color w:val="auto"/>
              </w:rPr>
            </w:pPr>
          </w:p>
        </w:tc>
        <w:tc>
          <w:tcPr>
            <w:tcW w:w="116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0"/>
              </w:rPr>
              <w:t>Parameter</w:t>
            </w:r>
          </w:p>
        </w:tc>
        <w:tc>
          <w:tcPr>
            <w:tcW w:w="340" w:type="dxa"/>
            <w:vAlign w:val="bottom"/>
          </w:tcPr>
          <w:p>
            <w:pPr>
              <w:spacing w:after="0"/>
              <w:rPr>
                <w:sz w:val="12"/>
                <w:szCs w:val="12"/>
                <w:color w:val="auto"/>
              </w:rPr>
            </w:pPr>
          </w:p>
        </w:tc>
        <w:tc>
          <w:tcPr>
            <w:tcW w:w="10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3"/>
              </w:rPr>
              <w:t>(100%</w:t>
            </w:r>
          </w:p>
        </w:tc>
        <w:tc>
          <w:tcPr>
            <w:tcW w:w="340" w:type="dxa"/>
            <w:vAlign w:val="bottom"/>
          </w:tcPr>
          <w:p>
            <w:pPr>
              <w:spacing w:after="0"/>
              <w:rPr>
                <w:sz w:val="12"/>
                <w:szCs w:val="12"/>
                <w:color w:val="auto"/>
              </w:rPr>
            </w:pPr>
          </w:p>
        </w:tc>
        <w:tc>
          <w:tcPr>
            <w:tcW w:w="114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2011 Actual</w:t>
            </w:r>
          </w:p>
        </w:tc>
        <w:tc>
          <w:tcPr>
            <w:tcW w:w="110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Payout</w:t>
            </w:r>
          </w:p>
        </w:tc>
      </w:tr>
      <w:tr>
        <w:trPr>
          <w:trHeight w:val="175"/>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2011 Bonus Metrics</w:t>
            </w:r>
          </w:p>
        </w:tc>
        <w:tc>
          <w:tcPr>
            <w:tcW w:w="2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Weighting</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0"/>
              </w:rPr>
              <w:t>(25% Payout)</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5"/>
              </w:rPr>
              <w:t>Payout)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8"/>
              </w:rPr>
              <w:t>Performance</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27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105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92"/>
              </w:rPr>
              <w:t>140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122 million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Free Cash Flow*</w:t>
            </w:r>
          </w:p>
        </w:tc>
        <w:tc>
          <w:tcPr>
            <w:tcW w:w="2700" w:type="dxa"/>
            <w:vAlign w:val="bottom"/>
          </w:tcPr>
          <w:p>
            <w:pPr>
              <w:jc w:val="right"/>
              <w:ind w:right="140"/>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2"/>
              <w:spacing w:after="0"/>
              <w:rPr>
                <w:sz w:val="20"/>
                <w:szCs w:val="20"/>
                <w:color w:val="auto"/>
              </w:rPr>
            </w:pPr>
            <w:r>
              <w:rPr>
                <w:rFonts w:ascii="Arial" w:cs="Arial" w:eastAsia="Arial" w:hAnsi="Arial"/>
                <w:sz w:val="18"/>
                <w:szCs w:val="18"/>
                <w:color w:val="auto"/>
              </w:rPr>
              <w:t>33 million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4"/>
              <w:spacing w:after="0"/>
              <w:rPr>
                <w:sz w:val="20"/>
                <w:szCs w:val="20"/>
                <w:color w:val="auto"/>
              </w:rPr>
            </w:pPr>
            <w:r>
              <w:rPr>
                <w:rFonts w:ascii="Arial" w:cs="Arial" w:eastAsia="Arial" w:hAnsi="Arial"/>
                <w:sz w:val="18"/>
                <w:szCs w:val="18"/>
                <w:color w:val="auto"/>
              </w:rPr>
              <w:t>42 million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0"/>
              <w:spacing w:after="0"/>
              <w:rPr>
                <w:sz w:val="20"/>
                <w:szCs w:val="20"/>
                <w:color w:val="auto"/>
              </w:rPr>
            </w:pPr>
            <w:r>
              <w:rPr>
                <w:rFonts w:ascii="Arial" w:cs="Arial" w:eastAsia="Arial" w:hAnsi="Arial"/>
                <w:sz w:val="18"/>
                <w:szCs w:val="18"/>
                <w:color w:val="auto"/>
              </w:rPr>
              <w:t>57 million</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Dollars*</w:t>
            </w:r>
          </w:p>
        </w:tc>
        <w:tc>
          <w:tcPr>
            <w:tcW w:w="27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93"/>
              </w:rPr>
              <w:t>3.297 billion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92"/>
              </w:rPr>
              <w:t>3.47 billion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w w:val="91"/>
              </w:rPr>
              <w:t>3.422 billion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adjusted. See “2011 Key Management Objectives and NEO Compensation- Annual Cash Bonus” for more details on the adjustments.</w:t>
      </w:r>
    </w:p>
    <w:p>
      <w:pPr>
        <w:spacing w:after="0" w:line="212" w:lineRule="exact"/>
        <w:rPr>
          <w:sz w:val="20"/>
          <w:szCs w:val="20"/>
          <w:color w:val="auto"/>
        </w:rPr>
      </w:pPr>
    </w:p>
    <w:p>
      <w:pPr>
        <w:jc w:val="both"/>
        <w:ind w:left="220" w:hanging="212"/>
        <w:spacing w:after="0" w:line="255"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Fiscal 2011 Long-Term Incentive Program grant</w:t>
      </w:r>
      <w:r>
        <w:rPr>
          <w:rFonts w:ascii="Arial" w:cs="Arial" w:eastAsia="Arial" w:hAnsi="Arial"/>
          <w:sz w:val="18"/>
          <w:szCs w:val="18"/>
          <w:color w:val="auto"/>
        </w:rPr>
        <w:t>: In May 2011, the Compensation Committee approved the annual long-term incentive grant to the NEOs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Mr. Austrian, who was the Interim Chair and CEO at the time) which was delivered 50% in non-qualified stock options and 50% in restricted stock with all equity vesting one-third on each of the first, second, and third anniversaries of the grant date; provided that, each NEO remains in the company’s employment until each anniversary date. For 2011, all of the non-qualified stock options were granted at a 25% premium over the exercise price, which is the fair market value on the grant date.</w:t>
      </w:r>
    </w:p>
    <w:p>
      <w:pPr>
        <w:spacing w:after="0" w:line="183" w:lineRule="exact"/>
        <w:rPr>
          <w:rFonts w:ascii="Arial" w:cs="Arial" w:eastAsia="Arial" w:hAnsi="Arial"/>
          <w:sz w:val="18"/>
          <w:szCs w:val="18"/>
          <w:color w:val="auto"/>
        </w:rPr>
      </w:pPr>
    </w:p>
    <w:p>
      <w:pPr>
        <w:jc w:val="both"/>
        <w:ind w:left="220" w:hanging="212"/>
        <w:spacing w:after="0" w:line="294"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Termination of Executive Medical Plan beginning in 2012</w:t>
      </w:r>
      <w:r>
        <w:rPr>
          <w:rFonts w:ascii="Arial" w:cs="Arial" w:eastAsia="Arial" w:hAnsi="Arial"/>
          <w:sz w:val="16"/>
          <w:szCs w:val="16"/>
          <w:color w:val="auto"/>
        </w:rPr>
        <w:t>: The Compensation Committee approved terminating coverage of all executives,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under the Executive Medical Plan beginning in 2012 after reviewing the Peer Group (described in the “Competitive Benchmarking” section later in this CD&amp;A) and determining that an executive medical benefit is no longer necessary for a competitive executive compensation program and in response to the escalating cost of health care under the Executive Medical Plan. As of January 1, 2012, the executives are now eligible to participate in the medical, dental, vision, and pharmacy benefit programs available to the company’s broad-based full-time employees.</w:t>
      </w:r>
    </w:p>
    <w:p>
      <w:pPr>
        <w:spacing w:after="0" w:line="156" w:lineRule="exact"/>
        <w:rPr>
          <w:rFonts w:ascii="Arial" w:cs="Arial" w:eastAsia="Arial" w:hAnsi="Arial"/>
          <w:sz w:val="16"/>
          <w:szCs w:val="16"/>
          <w:color w:val="auto"/>
        </w:rPr>
      </w:pPr>
    </w:p>
    <w:p>
      <w:pPr>
        <w:jc w:val="both"/>
        <w:ind w:left="220" w:hanging="212"/>
        <w:spacing w:after="0" w:line="288"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Enhancing Stock Ownership Guidelines</w:t>
      </w:r>
      <w:r>
        <w:rPr>
          <w:rFonts w:ascii="Arial" w:cs="Arial" w:eastAsia="Arial" w:hAnsi="Arial"/>
          <w:sz w:val="16"/>
          <w:szCs w:val="16"/>
          <w:color w:val="auto"/>
        </w:rPr>
        <w:t>: In October 2011, the Compensation Committee enhanced the company’s stock ownership guidelines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including the NEOs, to more closely reflect the ownership guidelines of the company’s competitors and peers and current corporate governance trends. Under the enhanced guidelines, the Chair and CEO is expected to hold company stock equal to at least either: 700,000 shares, or a multiple equal to five times his annual base salary, to be satisfied within five years of assuming his position. Under the enhanced guidelines, the other NEOs are expected to hold company stock equal to at least either: 250,000 shares, or a multiple equal to three times each individual’s annual base salary, to be satisfied within five years of becoming a Section 16(b) officer of the company. The amount of stock required to satisfy the ownership requirement must be held by each NEO until termination of employment with the company. The Compensation Committee also adopted a restriction on an NEO’s right to sell stock during the initial five year period prior to such individual satisfying the required ownership. The restriction requires that the NEO retain 50% of the net shares (after shares are disposed of to pay for taxes upon acquisition).</w:t>
      </w:r>
    </w:p>
    <w:p>
      <w:pPr>
        <w:spacing w:after="0" w:line="160" w:lineRule="exact"/>
        <w:rPr>
          <w:rFonts w:ascii="Arial" w:cs="Arial" w:eastAsia="Arial" w:hAnsi="Arial"/>
          <w:sz w:val="16"/>
          <w:szCs w:val="16"/>
          <w:color w:val="auto"/>
        </w:rPr>
      </w:pPr>
    </w:p>
    <w:p>
      <w:pPr>
        <w:jc w:val="both"/>
        <w:ind w:left="220" w:hanging="212"/>
        <w:spacing w:after="0" w:line="25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Risk assessment review</w:t>
      </w:r>
      <w:r>
        <w:rPr>
          <w:rFonts w:ascii="Arial" w:cs="Arial" w:eastAsia="Arial" w:hAnsi="Arial"/>
          <w:sz w:val="18"/>
          <w:szCs w:val="18"/>
          <w:color w:val="auto"/>
        </w:rPr>
        <w:t>: In December 2011, the Compensation Committee reviewed a risk assessment of the company’s global incentive plans and had a joint</w:t>
      </w:r>
      <w:r>
        <w:rPr>
          <w:rFonts w:ascii="Arial" w:cs="Arial" w:eastAsia="Arial" w:hAnsi="Arial"/>
          <w:sz w:val="18"/>
          <w:szCs w:val="18"/>
          <w:i w:val="1"/>
          <w:iCs w:val="1"/>
          <w:color w:val="auto"/>
        </w:rPr>
        <w:t xml:space="preserve"> </w:t>
      </w:r>
      <w:r>
        <w:rPr>
          <w:rFonts w:ascii="Arial" w:cs="Arial" w:eastAsia="Arial" w:hAnsi="Arial"/>
          <w:sz w:val="18"/>
          <w:szCs w:val="18"/>
          <w:color w:val="auto"/>
        </w:rPr>
        <w:t>review meeting with the Audit Committee in February 2012 as part of the Compensation Committee’s oversight of risk in incentive compensation paid to employees, including the NEOs.</w:t>
      </w:r>
    </w:p>
    <w:p>
      <w:pPr>
        <w:spacing w:after="0" w:line="180" w:lineRule="exact"/>
        <w:rPr>
          <w:rFonts w:ascii="Arial" w:cs="Arial" w:eastAsia="Arial" w:hAnsi="Arial"/>
          <w:sz w:val="18"/>
          <w:szCs w:val="18"/>
          <w:color w:val="auto"/>
        </w:rPr>
      </w:pPr>
    </w:p>
    <w:p>
      <w:pPr>
        <w:ind w:left="220" w:hanging="212"/>
        <w:spacing w:after="0" w:line="332"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Severance arrangements with former Executive Officers: </w:t>
      </w:r>
      <w:r>
        <w:rPr>
          <w:rFonts w:ascii="Arial" w:cs="Arial" w:eastAsia="Arial" w:hAnsi="Arial"/>
          <w:sz w:val="16"/>
          <w:szCs w:val="16"/>
          <w:color w:val="auto"/>
        </w:rPr>
        <w:t>In September 2011, in connection with Mr. Brown’s termination and pursuant to the terms of his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negotiated Executive Employment Agreement, Mr. Brown received a severance payment of $4,401,209, which included a retention bonus that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Compensation Committee had negotiated with Mr. Brown in April 2010 in exchange for Mr. Brown waiving his walk-away right under his change in control agreement that was in effect at the time. In August 2011, in connection with Ms. Vanderlinde’s termination of employment, the Compensation Committee reviewed and approved a Separation Agreement pursuant to which Ms. Vanderlinde received a total severance payment of $1,572,296, which included amounts owed to her pursuant to her previously negotiated Employment Offer Letter Agreement and an additional payment to obtain her release of any and all claims against the company.</w:t>
      </w:r>
    </w:p>
    <w:p>
      <w:pPr>
        <w:spacing w:after="0" w:line="183" w:lineRule="exact"/>
        <w:rPr>
          <w:sz w:val="20"/>
          <w:szCs w:val="20"/>
          <w:color w:val="auto"/>
        </w:rPr>
      </w:pPr>
    </w:p>
    <w:p>
      <w:pPr>
        <w:jc w:val="both"/>
        <w:ind w:left="220" w:hanging="212"/>
        <w:spacing w:after="0" w:line="291" w:lineRule="auto"/>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Policies affecting the compensation of NEOs, including anti-hedging and clawback policies</w:t>
      </w:r>
      <w:r>
        <w:rPr>
          <w:rFonts w:ascii="Arial" w:cs="Arial" w:eastAsia="Arial" w:hAnsi="Arial"/>
          <w:sz w:val="16"/>
          <w:szCs w:val="16"/>
          <w:color w:val="auto"/>
        </w:rPr>
        <w:t>: In February 2011, the Board adopted an anti-hedging policy</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prohibits hedging transactions with respect to company securities by our Directors, executive officers and all other employees. In February 2010, the Board adopted a policy for recoupment of incentive compensation. The policy provides that if the company restates its reported financial results for any period beginning after January 1, 2010, the Board will review the bonus and other awards made to executive officers based on financial results during the period subject to the restatement. To the extent practicable and in the best interests of shareholders, the Board will seek to recover or cancel any such awards that were based on having met or exceeded performance targets that would not have been met under the restated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Changes to Our Compensation Practices for 2012 as a Result of Say on Pay Vote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our April 2011 annual meeting, our shareholders voted to approve our fiscal 2010 executive compensation program, but approximately one-third of the votes cast did not support the measure. In response to concerns expressed by shareholders and as described in further detail in the “Response to 2011 Say on Pay Vote” section later in this CD&amp;A, the Compensation Committee worked with its independent compensation consultant, Hay Group, and management to improve the company’s executive compensation programs and policies to further link NEO compensation with performance. No specific component of the program was altered for 2011 since the Compensation Committee had established the fiscal 2011 annual compensation program prior to the results of the Say on Pay Vote. However, in February 2012, the Compensation Committee made the following changes to the long-term incentive compensation program for NEOs (other than the Chair and CEO) in order to better align the interests of executive management with shareholders. The Compensation Committee is evaluating changes to the CEO compensation in light of Say on Pay.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2011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963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Long Term Incentive Program structure consisted solely of 50% Restricted Stock and 50% Stock Options. The whole grant had time-based vesting and a portion was also subject to a performance target:</w:t>
      </w:r>
    </w:p>
    <w:p>
      <w:pPr>
        <w:spacing w:after="0" w:line="181" w:lineRule="exact"/>
        <w:rPr>
          <w:sz w:val="20"/>
          <w:szCs w:val="20"/>
          <w:color w:val="auto"/>
        </w:rPr>
      </w:pPr>
    </w:p>
    <w:p>
      <w:pPr>
        <w:ind w:left="220" w:right="300" w:hanging="212"/>
        <w:spacing w:after="0" w:line="268"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Stock — Subject to time-based vesting with a three year pro-rata vesting period</w:t>
      </w:r>
    </w:p>
    <w:p>
      <w:pPr>
        <w:spacing w:after="0" w:line="172"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Options —</w:t>
      </w:r>
    </w:p>
    <w:p>
      <w:pPr>
        <w:spacing w:after="0" w:line="211" w:lineRule="exact"/>
        <w:rPr>
          <w:rFonts w:ascii="Arial" w:cs="Arial" w:eastAsia="Arial" w:hAnsi="Arial"/>
          <w:sz w:val="18"/>
          <w:szCs w:val="18"/>
          <w:color w:val="auto"/>
        </w:rPr>
      </w:pPr>
    </w:p>
    <w:p>
      <w:pPr>
        <w:ind w:left="660" w:hanging="220"/>
        <w:spacing w:after="0" w:line="259" w:lineRule="auto"/>
        <w:tabs>
          <w:tab w:leader="none" w:pos="6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 of the stock option award granted at a 25% premium on the exercise price and subject to time-based vesting with a three year pro-rata vesting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2012 Long-Term Incentive Program</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(following the 2011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both"/>
        <w:ind w:right="20"/>
        <w:spacing w:after="0" w:line="268" w:lineRule="auto"/>
        <w:rPr>
          <w:sz w:val="20"/>
          <w:szCs w:val="20"/>
          <w:color w:val="auto"/>
        </w:rPr>
      </w:pPr>
      <w:r>
        <w:rPr>
          <w:rFonts w:ascii="Arial" w:cs="Arial" w:eastAsia="Arial" w:hAnsi="Arial"/>
          <w:sz w:val="18"/>
          <w:szCs w:val="18"/>
          <w:color w:val="auto"/>
        </w:rPr>
        <w:t>Long Term Incentive Program structure provides an opportunity for performance-based equity and cash awards.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50% of equity award and the entire cash award is performance-based with additional time-based vesting component to promote retention and to better align interests of executive management with shareholders:</w:t>
      </w:r>
    </w:p>
    <w:p>
      <w:pPr>
        <w:spacing w:after="0" w:line="147"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 of opportunity is Restricted Stock</w:t>
      </w:r>
    </w:p>
    <w:p>
      <w:pPr>
        <w:spacing w:after="0" w:line="211" w:lineRule="exact"/>
        <w:rPr>
          <w:rFonts w:ascii="Arial" w:cs="Arial" w:eastAsia="Arial" w:hAnsi="Arial"/>
          <w:sz w:val="18"/>
          <w:szCs w:val="18"/>
          <w:color w:val="auto"/>
        </w:rPr>
      </w:pPr>
    </w:p>
    <w:p>
      <w:pPr>
        <w:ind w:left="1080" w:right="20" w:hanging="424"/>
        <w:spacing w:after="0" w:line="268" w:lineRule="auto"/>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25% of opportunity: Time-based vesting with a three year pro-rata vesting period</w:t>
      </w:r>
    </w:p>
    <w:p>
      <w:pPr>
        <w:spacing w:after="0" w:line="172" w:lineRule="exact"/>
        <w:rPr>
          <w:rFonts w:ascii="Arial" w:cs="Arial" w:eastAsia="Arial" w:hAnsi="Arial"/>
          <w:sz w:val="18"/>
          <w:szCs w:val="18"/>
          <w:color w:val="auto"/>
        </w:rPr>
      </w:pPr>
    </w:p>
    <w:p>
      <w:pPr>
        <w:ind w:left="1080" w:right="40" w:hanging="424"/>
        <w:spacing w:after="0" w:line="259" w:lineRule="auto"/>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25% of opportunity: Performance-based (subject to meeting EBIT threshold) and time-based vesting pro-rata over three year period</w:t>
      </w:r>
    </w:p>
    <w:p>
      <w:pPr>
        <w:spacing w:after="0" w:line="181" w:lineRule="exact"/>
        <w:rPr>
          <w:sz w:val="20"/>
          <w:szCs w:val="20"/>
          <w:color w:val="auto"/>
        </w:rPr>
      </w:pPr>
    </w:p>
    <w:p>
      <w:pPr>
        <w:sectPr>
          <w:pgSz w:w="11900" w:h="16838" w:orient="portrait"/>
          <w:cols w:equalWidth="0" w:num="2">
            <w:col w:w="5820" w:space="460"/>
            <w:col w:w="5140"/>
          </w:cols>
          <w:pgMar w:left="240" w:top="459" w:right="239" w:bottom="1440" w:gutter="0" w:footer="0" w:header="0"/>
          <w:type w:val="continuous"/>
        </w:sectPr>
      </w:pPr>
    </w:p>
    <w:p>
      <w:pPr>
        <w:ind w:left="6280"/>
        <w:spacing w:after="0"/>
        <w:tabs>
          <w:tab w:leader="none" w:pos="6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 of opportunity is Cash</w:t>
      </w:r>
    </w:p>
    <w:p>
      <w:pPr>
        <w:spacing w:after="0" w:line="212" w:lineRule="exact"/>
        <w:rPr>
          <w:sz w:val="20"/>
          <w:szCs w:val="20"/>
          <w:color w:val="auto"/>
        </w:rPr>
      </w:pPr>
    </w:p>
    <w:p>
      <w:pPr>
        <w:ind w:left="6940"/>
        <w:spacing w:after="0"/>
        <w:tabs>
          <w:tab w:leader="none" w:pos="7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Performance-based (subject to meeting EBIT threshold)</w:t>
      </w:r>
    </w:p>
    <w:p>
      <w:pPr>
        <w:spacing w:after="0" w:line="3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and time-based vesting pro-rata over three year period</w:t>
      </w:r>
    </w:p>
    <w:p>
      <w:pPr>
        <w:spacing w:after="0" w:line="22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If fiscal year 2012 performance threshold (EBIT) is not satisfied,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participants  receive  only  the  time-vested  restricted  stock  (25%  of</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opportunity).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 Key Management Objectives and NEO Compensation</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section discusses the key objectives the Board set for the NEOs in 2011, the roles and responsibilities of the NEOs, and the total compensation packages for each of the NEOs in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of 2011 Annual Initiatives and Impact on Company Performance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company made measurable progress in 2011 in improving financial performance and achieved at or above the threshold level for EBIT, free cash flow and gross profit under our annual cash bonus program, our NEOs also successfully executed the annual initiatives approved by the Board under the company’s annual operating plan. These key initiatives are intended to strategically position the company for a positive impact on performance in 2011 and later years and are discussed briefly below:</w:t>
      </w:r>
    </w:p>
    <w:p>
      <w:pPr>
        <w:spacing w:after="0" w:line="184" w:lineRule="exact"/>
        <w:rPr>
          <w:sz w:val="20"/>
          <w:szCs w:val="20"/>
          <w:color w:val="auto"/>
        </w:rPr>
      </w:pPr>
    </w:p>
    <w:p>
      <w:pPr>
        <w:jc w:val="both"/>
        <w:ind w:left="220" w:hanging="212"/>
        <w:spacing w:after="0" w:line="255"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Improving operating performance while reducing costs</w:t>
      </w:r>
      <w:r>
        <w:rPr>
          <w:rFonts w:ascii="Arial" w:cs="Arial" w:eastAsia="Arial" w:hAnsi="Arial"/>
          <w:sz w:val="18"/>
          <w:szCs w:val="18"/>
          <w:color w:val="auto"/>
        </w:rPr>
        <w:t>. In establishing the company’s 2011 annual operating plan, the Board and management identified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need to focus on improving operating performance while continuing to reduce costs as a key component in the company’s short-term performance and long-term success. The Board established a goal of achieving an as adjusted EBIT of at least $105 million in 2011. To encourage management to focus on this key component, the Compensation Committee selected EBIT as one of the three metrics for the 2011 annual cash bonus program. The company achieved an as adjusted EBIT of $122 million in 2011.</w:t>
      </w:r>
    </w:p>
    <w:p>
      <w:pPr>
        <w:spacing w:after="0" w:line="183"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Ensuring resources are available to support company’s 2011 key initiatives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charged management with ensuring that sufficient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capital were allocated to the company’s divisions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20"/>
        <w:spacing w:after="0" w:line="268" w:lineRule="auto"/>
        <w:rPr>
          <w:sz w:val="20"/>
          <w:szCs w:val="20"/>
          <w:color w:val="auto"/>
        </w:rPr>
      </w:pPr>
      <w:r>
        <w:rPr>
          <w:rFonts w:ascii="Arial" w:cs="Arial" w:eastAsia="Arial" w:hAnsi="Arial"/>
          <w:sz w:val="18"/>
          <w:szCs w:val="18"/>
          <w:color w:val="auto"/>
        </w:rPr>
        <w:t>and departments as needed to guarantee success in each of the key initiatives identified under the company’s 2011 annual operating plan. The Board reviewed performance of the key initiatives at each of its quarterly meetings.</w:t>
      </w:r>
    </w:p>
    <w:p>
      <w:pPr>
        <w:spacing w:after="0" w:line="172" w:lineRule="exact"/>
        <w:rPr>
          <w:sz w:val="20"/>
          <w:szCs w:val="20"/>
          <w:color w:val="auto"/>
        </w:rPr>
      </w:pPr>
    </w:p>
    <w:p>
      <w:pPr>
        <w:ind w:left="440" w:hanging="324"/>
        <w:spacing w:after="0" w:line="26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Pricing and promotions</w:t>
      </w:r>
      <w:r>
        <w:rPr>
          <w:rFonts w:ascii="Arial" w:cs="Arial" w:eastAsia="Arial" w:hAnsi="Arial"/>
          <w:sz w:val="18"/>
          <w:szCs w:val="18"/>
          <w:color w:val="auto"/>
        </w:rPr>
        <w:t>. The Board charged management with increasing margins through implementation of strategic pricing in the Retail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Division businesses and through enhanced planning and IT platforms for promotions.</w:t>
      </w:r>
    </w:p>
    <w:p>
      <w:pPr>
        <w:spacing w:after="0" w:line="172" w:lineRule="exact"/>
        <w:rPr>
          <w:rFonts w:ascii="Arial" w:cs="Arial" w:eastAsia="Arial" w:hAnsi="Arial"/>
          <w:sz w:val="18"/>
          <w:szCs w:val="18"/>
          <w:color w:val="auto"/>
        </w:rPr>
      </w:pPr>
    </w:p>
    <w:p>
      <w:pPr>
        <w:jc w:val="both"/>
        <w:ind w:left="440" w:hanging="324"/>
        <w:spacing w:after="0" w:line="298"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Implementing in-store customer experience initiative</w:t>
      </w:r>
      <w:r>
        <w:rPr>
          <w:rFonts w:ascii="Arial" w:cs="Arial" w:eastAsia="Arial" w:hAnsi="Arial"/>
          <w:sz w:val="16"/>
          <w:szCs w:val="16"/>
          <w:color w:val="auto"/>
        </w:rPr>
        <w:t>. In 2011, the company piloted an “In Store Customer Experience” initiative to enhance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shopping experience in the company’s North America retail stores. This pilot initiative included: re-focusing on product training and sales coaching for store employees; establishing process improvements to streamline store functions, so store employees have more time to focus on the customers instead of administrative tasks; and simplifying in-store signage. The company is rolling out this initiative to all North America retail stores in 2012.</w:t>
      </w:r>
    </w:p>
    <w:p>
      <w:pPr>
        <w:spacing w:after="0" w:line="153" w:lineRule="exact"/>
        <w:rPr>
          <w:rFonts w:ascii="Arial" w:cs="Arial" w:eastAsia="Arial" w:hAnsi="Arial"/>
          <w:sz w:val="16"/>
          <w:szCs w:val="16"/>
          <w:color w:val="auto"/>
        </w:rPr>
      </w:pPr>
    </w:p>
    <w:p>
      <w:pPr>
        <w:jc w:val="both"/>
        <w:ind w:left="440" w:hanging="324"/>
        <w:spacing w:after="0" w:line="298"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Redesigning marketing and merchandising strategies</w:t>
      </w:r>
      <w:r>
        <w:rPr>
          <w:rFonts w:ascii="Arial" w:cs="Arial" w:eastAsia="Arial" w:hAnsi="Arial"/>
          <w:sz w:val="16"/>
          <w:szCs w:val="16"/>
          <w:color w:val="auto"/>
        </w:rPr>
        <w:t>. In recent years, the company had limited its marketing and merchandising efforts as part of its cost</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strategies. As part of the company’s desire to redesign its merchandising and marketing strategies, the company’s goal was to hire new executives to lead these efforts; and in July 2011, the company hired a new Executive Vice President &amp; Chief Marketing Officer and appointed an Interim Head of Merchandising, who became the Executive Vice President &amp; Chief Merchandising Officer in January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Roles and Responsibilities of NEOs and Total Compensation Paid in 2011</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u w:val="single" w:color="auto"/>
          <w:color w:val="auto"/>
        </w:rPr>
        <w:t>Chief Executive Officer</w:t>
      </w:r>
      <w:r>
        <w:rPr>
          <w:rFonts w:ascii="Arial" w:cs="Arial" w:eastAsia="Arial" w:hAnsi="Arial"/>
          <w:sz w:val="18"/>
          <w:szCs w:val="18"/>
          <w:color w:val="auto"/>
        </w:rPr>
        <w:t>. On May 23, 2011, the Board elected Mr. Austrian to serve as the company’s Chair and CEO. Mr. Austrian had been the Interim Chair and</w:t>
      </w:r>
      <w:r>
        <w:rPr>
          <w:rFonts w:ascii="Arial" w:cs="Arial" w:eastAsia="Arial" w:hAnsi="Arial"/>
          <w:sz w:val="18"/>
          <w:szCs w:val="18"/>
          <w:i w:val="1"/>
          <w:iCs w:val="1"/>
          <w:color w:val="auto"/>
        </w:rPr>
        <w:t xml:space="preserve"> </w:t>
      </w:r>
      <w:r>
        <w:rPr>
          <w:rFonts w:ascii="Arial" w:cs="Arial" w:eastAsia="Arial" w:hAnsi="Arial"/>
          <w:sz w:val="18"/>
          <w:szCs w:val="18"/>
          <w:color w:val="auto"/>
        </w:rPr>
        <w:t>CEO since November 1, 2010.</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Roles, Responsibilities, and 2011 CEO Objectives</w:t>
      </w:r>
      <w:r>
        <w:rPr>
          <w:rFonts w:ascii="Arial" w:cs="Arial" w:eastAsia="Arial" w:hAnsi="Arial"/>
          <w:sz w:val="18"/>
          <w:szCs w:val="18"/>
          <w:color w:val="auto"/>
        </w:rPr>
        <w:t xml:space="preserve"> - Following Mr. Austrian’s appointment to Chair and CEO, in addition to his responsibilities for managing the company’s executive team and overseeing implementation of the annual initiatives discussed above, the Board also set certain key objectives for Mr. Austrian. The objectives are discussed briefly below:</w:t>
      </w:r>
    </w:p>
    <w:p>
      <w:pPr>
        <w:spacing w:after="0" w:line="181" w:lineRule="exact"/>
        <w:rPr>
          <w:sz w:val="20"/>
          <w:szCs w:val="20"/>
          <w:color w:val="auto"/>
        </w:rPr>
      </w:pPr>
    </w:p>
    <w:p>
      <w:pPr>
        <w:jc w:val="both"/>
        <w:ind w:left="220" w:hanging="212"/>
        <w:spacing w:after="0" w:line="298"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Rebuilding positive company culture</w:t>
      </w:r>
      <w:r>
        <w:rPr>
          <w:rFonts w:ascii="Arial" w:cs="Arial" w:eastAsia="Arial" w:hAnsi="Arial"/>
          <w:sz w:val="16"/>
          <w:szCs w:val="16"/>
          <w:color w:val="auto"/>
        </w:rPr>
        <w:t>. As Interim Chair and CEO, Mr. Austrian personally led internal focus groups to identify the company’s strengths and</w:t>
      </w:r>
      <w:r>
        <w:rPr>
          <w:rFonts w:ascii="Arial" w:cs="Arial" w:eastAsia="Arial" w:hAnsi="Arial"/>
          <w:sz w:val="16"/>
          <w:szCs w:val="16"/>
          <w:i w:val="1"/>
          <w:iCs w:val="1"/>
          <w:color w:val="auto"/>
        </w:rPr>
        <w:t xml:space="preserve"> </w:t>
      </w:r>
      <w:r>
        <w:rPr>
          <w:rFonts w:ascii="Arial" w:cs="Arial" w:eastAsia="Arial" w:hAnsi="Arial"/>
          <w:sz w:val="16"/>
          <w:szCs w:val="16"/>
          <w:color w:val="auto"/>
        </w:rPr>
        <w:t>weaknesses. During these focus group meetings, Mr. Austrian identified certain company culture improvements that were needed. The Board charged Mr. Austrian with rebuilding a positive company culture that focuses on commitment, accountability and continued process improvement, including considering changes to the company’s organizational structure to encourage employee commitment to the company’s success.</w:t>
      </w:r>
    </w:p>
    <w:p>
      <w:pPr>
        <w:spacing w:after="0" w:line="153" w:lineRule="exact"/>
        <w:rPr>
          <w:rFonts w:ascii="Arial" w:cs="Arial" w:eastAsia="Arial" w:hAnsi="Arial"/>
          <w:sz w:val="16"/>
          <w:szCs w:val="16"/>
          <w:color w:val="auto"/>
        </w:rPr>
      </w:pPr>
    </w:p>
    <w:p>
      <w:pPr>
        <w:jc w:val="both"/>
        <w:ind w:left="220" w:hanging="212"/>
        <w:spacing w:after="0" w:line="298"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Restructuring management team</w:t>
      </w:r>
      <w:r>
        <w:rPr>
          <w:rFonts w:ascii="Arial" w:cs="Arial" w:eastAsia="Arial" w:hAnsi="Arial"/>
          <w:sz w:val="16"/>
          <w:szCs w:val="16"/>
          <w:color w:val="auto"/>
        </w:rPr>
        <w:t>. Mr. Austrian restructured his management team, consolidating all North American operations under one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appointing a new Executive Vice President of Human Resources, and creating the enhanced roles of Executive Vice President, Chief Marketing Officer and Executive Vice President, Chief Merchandising Officer and elevating these roles to the Operating Committee level. In addition, the company implemented robust reporting and review of key initiatives performance at the Operating Committee and Board levels.</w:t>
      </w:r>
    </w:p>
    <w:p>
      <w:pPr>
        <w:spacing w:after="0" w:line="31" w:lineRule="exact"/>
        <w:rPr>
          <w:rFonts w:ascii="Arial" w:cs="Arial" w:eastAsia="Arial" w:hAnsi="Arial"/>
          <w:sz w:val="16"/>
          <w:szCs w:val="16"/>
          <w:color w:val="auto"/>
        </w:rPr>
      </w:pPr>
    </w:p>
    <w:p>
      <w:pPr>
        <w:jc w:val="both"/>
        <w:ind w:left="220" w:hanging="212"/>
        <w:spacing w:after="0" w:line="306"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Focusing on CEO succession planning</w:t>
      </w:r>
      <w:r>
        <w:rPr>
          <w:rFonts w:ascii="Arial" w:cs="Arial" w:eastAsia="Arial" w:hAnsi="Arial"/>
          <w:sz w:val="16"/>
          <w:szCs w:val="16"/>
          <w:color w:val="auto"/>
        </w:rPr>
        <w:t>. In connection with Mr. Austrian’s appointment as Chair and CEO, the Board identified CEO succession planning as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objective to be focused on over the next few years. The Board asked Mr. Austrian to focus on grooming certain executives to become possible candidates for the CEO position in the future. As a result, succession planning throughout the company has received a renewed focus.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Total Compensation</w:t>
      </w:r>
      <w:r>
        <w:rPr>
          <w:rFonts w:ascii="Arial" w:cs="Arial" w:eastAsia="Arial" w:hAnsi="Arial"/>
          <w:sz w:val="18"/>
          <w:szCs w:val="18"/>
          <w:color w:val="auto"/>
        </w:rPr>
        <w:t xml:space="preserve"> — When assessing whether the company’s compensation policies align pay with performance, the Compensation Committee reviews both financial performance and execution of non-financial annual initiatives as described in this section of the CD&amp;A. Based on these performance objectives, the Board, after consultation with the Compensation and Corporate Governance and Nominating Committees</w:t>
      </w:r>
      <w:r>
        <w:rPr>
          <w:rFonts w:ascii="Arial" w:cs="Arial" w:eastAsia="Arial" w:hAnsi="Arial"/>
          <w:sz w:val="18"/>
          <w:szCs w:val="18"/>
          <w:u w:val="single" w:color="auto"/>
          <w:color w:val="auto"/>
        </w:rPr>
        <w:t>,</w:t>
      </w:r>
      <w:r>
        <w:rPr>
          <w:rFonts w:ascii="Arial" w:cs="Arial" w:eastAsia="Arial" w:hAnsi="Arial"/>
          <w:sz w:val="18"/>
          <w:szCs w:val="18"/>
          <w:color w:val="auto"/>
        </w:rPr>
        <w:t xml:space="preserve"> determined that Mr. Austrian’s performance in 2011 was above expectations.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Austrian’s 2011 annual base salary was $1,100,000 beginning with his election to Chair and CEO on May 23, 2011, which is less than what he was eligible to receive as Interim Chair and CEO. Prior to such date, Mr. Austrian received a monthly base salary of $200,000 for his services as the Interim Chair and CEO. In 2011, the Compensation Committee benchmarked the Chair and CEO’s total direct compensation solely against the Peer Group (described in the “Competitive Benchmarking” section later in this CD&amp;A) because it believes that CEO positions within the Peer Group are of similar scope and complexity. In 2011, Mr. Austrian’s base salary was approximately 7% below the median of the company’s Peer Group for 2010. Mr. Austrian’s other compensation (excluding his time-based restricted stock grant) represents 53% of his total compensation and is at-risk.</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Mr. Austrian was eligible for a 2011 target bonus of 140% of his annual base salary, pro-rated for his service as Chair and CEO from May 23, 2011 through December 31, 2011, and subject to the satisfaction of the three performance metrics approved by the Compensation Committee under the 2011 annual cash bonus program for the NEOs, as described earlier in this CD&amp;A. The target bonus percentage for Mr. Austrian is set approximately at the Peer Group median. In light of the company’s 2011 performance against the bonus metrics and the applicable pro-ration for service, Mr. Austrian’s cash bonus for 2011 is $815,015.</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lieu of a sign-on cash bonus and to incentivize future performance, Mr. Austrian was awarded two grants of restricted shares of the company’s common stock on May 23, 2011. The Board, upon recommendation of the Compensation Committee, felt it was critical that the Chair and CEO compensation be linked to improving shareholder value. This was accomplished through two equity grants, one of which vests based on performance and service requirements while the other vests based on service requirement only. The first grant of 600,000 restricted shares is subject to vesting based on a service requirement, and the second grant of 600,000 restricted shares is subject to vesting based on both service and performance requirements, as further described under the “Summary of Executive Agreements and Potential Payments Upon Termination or Change in Control.” Additionally, Mr. Austrian agreed to extend the scheduled vesting date for the unvested stock options granted to him on November 2, 2010 when he was named Interim Chair and CEO to April 30, 2013.</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Other NEOs (other than the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Chair and CEO, the company’s currently employed NEOs include: Michael Newman,</w:t>
      </w:r>
      <w:r>
        <w:rPr>
          <w:rFonts w:ascii="Arial" w:cs="Arial" w:eastAsia="Arial" w:hAnsi="Arial"/>
          <w:sz w:val="18"/>
          <w:szCs w:val="18"/>
          <w:i w:val="1"/>
          <w:iCs w:val="1"/>
          <w:color w:val="auto"/>
        </w:rPr>
        <w:t xml:space="preserve"> </w:t>
      </w:r>
      <w:r>
        <w:rPr>
          <w:rFonts w:ascii="Arial" w:cs="Arial" w:eastAsia="Arial" w:hAnsi="Arial"/>
          <w:sz w:val="18"/>
          <w:szCs w:val="18"/>
          <w:color w:val="auto"/>
        </w:rPr>
        <w:t>Kevin Peters, Steven Schmidt and Elisa Garcia. In this section, references to “NEO” or “NEOs” does not include the Chair and CEO. In addition, in 2011, our NEOs included two former executives: Charles Brown and Daisy Vanderlinde.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Roles and Responsibilities</w:t>
      </w:r>
      <w:r>
        <w:rPr>
          <w:rFonts w:ascii="Arial" w:cs="Arial" w:eastAsia="Arial" w:hAnsi="Arial"/>
          <w:sz w:val="18"/>
          <w:szCs w:val="18"/>
          <w:color w:val="auto"/>
        </w:rPr>
        <w:t xml:space="preserve"> — The currently employed NEOs had the following roles and responsibilities in 2011:</w:t>
      </w:r>
    </w:p>
    <w:p>
      <w:pPr>
        <w:spacing w:after="0" w:line="212" w:lineRule="exact"/>
        <w:rPr>
          <w:sz w:val="20"/>
          <w:szCs w:val="20"/>
          <w:color w:val="auto"/>
        </w:rPr>
      </w:pPr>
    </w:p>
    <w:p>
      <w:pPr>
        <w:jc w:val="both"/>
        <w:ind w:left="220" w:hanging="212"/>
        <w:spacing w:after="0" w:line="306"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Michael Newman, Executive Vice President and Chief Financial Officer</w:t>
      </w:r>
      <w:r>
        <w:rPr>
          <w:rFonts w:ascii="Arial" w:cs="Arial" w:eastAsia="Arial" w:hAnsi="Arial"/>
          <w:sz w:val="16"/>
          <w:szCs w:val="16"/>
          <w:color w:val="auto"/>
        </w:rPr>
        <w:t>. Mr. Newman was appointed Executive Vice President and Chief Financial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2008. As Executive Vice President and Chief Financial Officer, Mr. Newman’s roles and responsibilities include managing the company’s finance, accounting, information technology, and tax departments as well as overseeing the company’s Supply Chain from July 2011 through February 2012.</w:t>
      </w:r>
    </w:p>
    <w:p>
      <w:pPr>
        <w:spacing w:after="0" w:line="147" w:lineRule="exact"/>
        <w:rPr>
          <w:rFonts w:ascii="Arial" w:cs="Arial" w:eastAsia="Arial" w:hAnsi="Arial"/>
          <w:sz w:val="16"/>
          <w:szCs w:val="16"/>
          <w:color w:val="auto"/>
        </w:rPr>
      </w:pPr>
    </w:p>
    <w:p>
      <w:pPr>
        <w:jc w:val="both"/>
        <w:ind w:left="220" w:hanging="212"/>
        <w:spacing w:after="0" w:line="256"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Kevin Peters, President, North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Mr. Peters was appointed President of the company’s new North America Division in July 2011.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Mr. Peters had served as President, North America Retail since April 2010, as Executive Vice President, Supply Chain and Information Technology from March 2009 to April 2010, and as Executive Vice President, Supply Chain from when he joined the company in 2007 until March 2009. As President, North America, Mr. Peters’ roles and responsibilities include managing the company’s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line="268" w:lineRule="auto"/>
        <w:rPr>
          <w:sz w:val="20"/>
          <w:szCs w:val="20"/>
          <w:color w:val="auto"/>
        </w:rPr>
      </w:pPr>
      <w:r>
        <w:rPr>
          <w:rFonts w:ascii="Arial" w:cs="Arial" w:eastAsia="Arial" w:hAnsi="Arial"/>
          <w:sz w:val="18"/>
          <w:szCs w:val="18"/>
          <w:color w:val="auto"/>
        </w:rPr>
        <w:t>North America Retail and Business Solutions Divisions as well as overseeing the company’s E-Commerce department. In February 2012, Mr. Peters also assumed responsibility for the company’s supply chain.</w:t>
      </w:r>
    </w:p>
    <w:p>
      <w:pPr>
        <w:spacing w:after="0" w:line="172" w:lineRule="exact"/>
        <w:rPr>
          <w:sz w:val="20"/>
          <w:szCs w:val="20"/>
          <w:color w:val="auto"/>
        </w:rPr>
      </w:pPr>
    </w:p>
    <w:p>
      <w:pPr>
        <w:jc w:val="both"/>
        <w:ind w:left="220" w:hanging="212"/>
        <w:spacing w:after="0" w:line="255"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Steven Schmidt, President,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Schmidt was appointed President, International in November 2011. Mr. Schmidt previously served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Corporate Strategy and New Business Development from July 2011, following the company’s combining its North America Retail Division and its Business Solutions Division into one new North America Division. Previously, Mr. Schmidt had been President, Business Solutions Division since joining the company in July 2007. As President, International, Mr. Schmidt’s roles and responsibilities now include managing the company’s business outside of the United States.</w:t>
      </w:r>
    </w:p>
    <w:p>
      <w:pPr>
        <w:spacing w:after="0" w:line="183" w:lineRule="exact"/>
        <w:rPr>
          <w:rFonts w:ascii="Arial" w:cs="Arial" w:eastAsia="Arial" w:hAnsi="Arial"/>
          <w:sz w:val="18"/>
          <w:szCs w:val="18"/>
          <w:color w:val="auto"/>
        </w:rPr>
      </w:pPr>
    </w:p>
    <w:p>
      <w:pPr>
        <w:jc w:val="both"/>
        <w:ind w:left="220" w:hanging="212"/>
        <w:spacing w:after="0" w:line="256"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Elisa Garcia, Executive Vice President, General Counsel and Corporate Secretary</w:t>
      </w:r>
      <w:r>
        <w:rPr>
          <w:rFonts w:ascii="Arial" w:cs="Arial" w:eastAsia="Arial" w:hAnsi="Arial"/>
          <w:sz w:val="18"/>
          <w:szCs w:val="18"/>
          <w:color w:val="auto"/>
        </w:rPr>
        <w:t>. Ms. Garcia was appointed Executive Vice President, General Counsel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Secretary in July 2007. As Executive Vice President, General Counsel and Corporate Secretary, Ms. Garcia has global responsibility for legal, government relations, compliance, loss prevention, internal audit and risk management for the company and oversees more than 150 legal and compliance professionals located in the United States, Europe and Asia.</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Total Compensation</w:t>
      </w:r>
      <w:r>
        <w:rPr>
          <w:rFonts w:ascii="Arial" w:cs="Arial" w:eastAsia="Arial" w:hAnsi="Arial"/>
          <w:sz w:val="16"/>
          <w:szCs w:val="16"/>
          <w:color w:val="auto"/>
        </w:rPr>
        <w:t xml:space="preserve"> — The Compensation Committee evaluates the contributions of the NEOs primarily against the company’s corporate performance and execution of the company’s non-financial annual initiatives rather than focusing on each NEO’s individual business unit or function. The Compensation Committee believes that the NEOs share the responsibility for implementing the key initiatives of the annual operating plan and driving the performance of the company, as the key members of management. However, the Compensation Committee also takes into consideration each NEO’s individual role and performance based on: (i) the size, scope, and complexity of the NEO’s role, (ii) the NEO’s relative position compared to market pay for the Peer Group based on available proxy data, (iii) long-term contributions, performance, and growth potential, and (iv) retention considerations. In addition, in certain cases, Hay Group survey data is utilized to review the compensation of the NEOs since proxy information does not typically reflect the actual job content of some NEOs.</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2011 Base Salary</w:t>
      </w:r>
      <w:r>
        <w:rPr>
          <w:rFonts w:ascii="Arial" w:cs="Arial" w:eastAsia="Arial" w:hAnsi="Arial"/>
          <w:sz w:val="16"/>
          <w:szCs w:val="16"/>
          <w:color w:val="auto"/>
        </w:rPr>
        <w:t xml:space="preserve"> — The Compensation Committee reviews the NEO base salaries each year and considers the company’s financial performance and execution of the company’s non-financial annual initiatives in the prior year as well as the company’s compensation objectives, market competitiveness, and any changes in positions or responsibilities of NEOs. During the review process in February 2011, based on the company’s performance in 2010, the Compensation Committee did not increase base salaries of the NEOs for 2011 even though base salaries were below the Peer Group median. The annual base salary for each of the NEOs in 2011 was as follows: $625,000 for Messrs. Newman, Peters, Schmidt, and Brown and $440,000 for Ms. Garcia and Ms. Vanderlinde. On average, these NEOs’ base salaries were about 8% below the median of the Peer Group based on available 2010 survey data. However, the Compensation Committee believes that, based on the company’s overall performance in 2011, its decision not to increase salaries for the NEOs in 2011 was consistent with its compensation philosophy and objectives of aligning executive compensation with shareholder interests and paying for performance. Despite the changes in roles and responsibilities of the NEOs, as described above, the Compensation Committee did not change any base salaries for the NEOs in 2011.</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2011 Annual Cash Bonus</w:t>
      </w:r>
      <w:r>
        <w:rPr>
          <w:rFonts w:ascii="Arial" w:cs="Arial" w:eastAsia="Arial" w:hAnsi="Arial"/>
          <w:sz w:val="16"/>
          <w:szCs w:val="16"/>
          <w:color w:val="auto"/>
        </w:rPr>
        <w:t xml:space="preserve"> — In February 2011, the Compensation Committee considered the 2011 annual operating business plan approved by the Board and the key performance measures for the company’s business in its decision to approve the following performance metrics for the NEOs under the company’s 2011 annual cash bonus plan: (1) an EBIT metric to align with divisional metrics which focused on improving operating performance while continuing to reduce costs to drive earnings improvement; (2) a free cash flow metric to ensure ongoing liquidity and retention of creditor and vendor confidence; and (3) gross profit dollars, a gross margin metric, to focus our NEOs on growing profitable sales. The change from the performance metrics used in the 2010 annual cash bonus plan (i.e., EBITDA, free cash flow, and sales) was made to align 2011 executive compensation with the company’s 2011 strategic initiatives to drive the company’s growth, and the 2011 performance metrics will be retained for the 2012 annual cash bonus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2011 bonus metrics were designed to allow a leveraging up if objectives were “over achieved” or down if below target performance, but above the threshold resulted. The Compensation Committee did not set maximum parameters for any of the metrics, so payment could be made for extraordinary performance. The Compensation Committee believed that not imposing a ceiling would not incentivize excessive risk taking because the results for the annual incentive include the expense of the incentive, and there are controls in place to mitigate risk concerns. As an additional protection against undue risk taking, the company has a clawback policy for incentive compensation as described under “Recoupment Policy” in the “Other Policies and Matters Related to Executive Compensation” section later in this CD&amp;A. While the Compensation Committee has negative discretion in making bonus determinations, it did not exercise its discretion with respect to the 2011 bonus.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reviewed the level of achievement for each of the bonus metrics under the 2011 annual cash bonus plan based on the company’s 2011 audited financial statements approved by the Board’s Audit Committee. For purposes of the 2011 corporate annual cash bonus plan, the company achieved EBIT of $122 million, free cash flow of $57 million, and gross profit dollars of $3.4 billion, after adjustments approved by the Finance Committee. The company achieved at or above the threshold level for each metric. When considering whether the company has reached the target performance metrics for Annual Bonus compensation, the Compensation Committee may exclude significant or unusual items that may distort the company’s performance. This ensures that executives will not be unduly influenced in their decision-making because they would neither benefit nor be penalized as a result of certain unexpected and uncontrollable or strategic events that may positively or negatively affect the performance metrics in the short-term. Therefore, the Compensation Committee determined the final achievement level by excluding unplanned and extraordinary items including: costs associated with facility closures and other downsizing activities that are considered part of a specific functional reorganization, direct costs associated with specific and approved efficiency initiatives and a denied tax refund claim. The Compensation Committee also added certain unplanned and extraordinary items in making its determination, including: a cash dividend from a joint venture, a delayed trade payables adjustment and a shrink adjustment. Following the application of these adjustments, the Compensation Committee authorized bonuses under the 2011 annual cash bonus plan to be paid at 86% of target to the NEOs. For purposes of calculating the achievement of each of the bonus metrics, the following net adjustments were made:</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ind w:left="500"/>
              <w:spacing w:after="0"/>
              <w:rPr>
                <w:sz w:val="20"/>
                <w:szCs w:val="20"/>
                <w:color w:val="auto"/>
              </w:rPr>
            </w:pPr>
            <w:r>
              <w:rPr>
                <w:rFonts w:ascii="Arial" w:cs="Arial" w:eastAsia="Arial" w:hAnsi="Arial"/>
                <w:sz w:val="14"/>
                <w:szCs w:val="14"/>
                <w:color w:val="auto"/>
              </w:rPr>
              <w:t>Free Cash</w:t>
            </w:r>
          </w:p>
        </w:tc>
        <w:tc>
          <w:tcPr>
            <w:tcW w:w="1160" w:type="dxa"/>
            <w:vAlign w:val="bottom"/>
            <w:gridSpan w:val="2"/>
          </w:tcPr>
          <w:p>
            <w:pPr>
              <w:ind w:left="380"/>
              <w:spacing w:after="0"/>
              <w:rPr>
                <w:sz w:val="20"/>
                <w:szCs w:val="20"/>
                <w:color w:val="auto"/>
              </w:rPr>
            </w:pPr>
            <w:r>
              <w:rPr>
                <w:rFonts w:ascii="Arial" w:cs="Arial" w:eastAsia="Arial" w:hAnsi="Arial"/>
                <w:sz w:val="14"/>
                <w:szCs w:val="14"/>
                <w:color w:val="auto"/>
              </w:rPr>
              <w:t>Gross Profit</w:t>
            </w:r>
          </w:p>
        </w:tc>
      </w:tr>
      <w:tr>
        <w:trPr>
          <w:trHeight w:val="149"/>
        </w:trPr>
        <w:tc>
          <w:tcPr>
            <w:tcW w:w="4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jc w:val="right"/>
              <w:ind w:right="557"/>
              <w:spacing w:after="0" w:line="149" w:lineRule="exact"/>
              <w:rPr>
                <w:sz w:val="20"/>
                <w:szCs w:val="20"/>
                <w:color w:val="auto"/>
              </w:rPr>
            </w:pPr>
            <w:r>
              <w:rPr>
                <w:rFonts w:ascii="Arial" w:cs="Arial" w:eastAsia="Arial" w:hAnsi="Arial"/>
                <w:sz w:val="14"/>
                <w:szCs w:val="14"/>
                <w:color w:val="auto"/>
              </w:rPr>
              <w:t>EBIT</w:t>
            </w:r>
          </w:p>
        </w:tc>
        <w:tc>
          <w:tcPr>
            <w:tcW w:w="580" w:type="dxa"/>
            <w:vAlign w:val="bottom"/>
          </w:tcPr>
          <w:p>
            <w:pPr>
              <w:spacing w:after="0"/>
              <w:rPr>
                <w:sz w:val="12"/>
                <w:szCs w:val="12"/>
                <w:color w:val="auto"/>
              </w:rPr>
            </w:pPr>
          </w:p>
        </w:tc>
        <w:tc>
          <w:tcPr>
            <w:tcW w:w="960" w:type="dxa"/>
            <w:vAlign w:val="bottom"/>
          </w:tcPr>
          <w:p>
            <w:pPr>
              <w:jc w:val="right"/>
              <w:ind w:right="557"/>
              <w:spacing w:after="0" w:line="149" w:lineRule="exact"/>
              <w:rPr>
                <w:sz w:val="20"/>
                <w:szCs w:val="20"/>
                <w:color w:val="auto"/>
              </w:rPr>
            </w:pPr>
            <w:r>
              <w:rPr>
                <w:rFonts w:ascii="Arial" w:cs="Arial" w:eastAsia="Arial" w:hAnsi="Arial"/>
                <w:sz w:val="14"/>
                <w:szCs w:val="14"/>
                <w:color w:val="auto"/>
              </w:rPr>
              <w:t>Flow</w:t>
            </w:r>
          </w:p>
        </w:tc>
        <w:tc>
          <w:tcPr>
            <w:tcW w:w="500" w:type="dxa"/>
            <w:vAlign w:val="bottom"/>
          </w:tcPr>
          <w:p>
            <w:pPr>
              <w:spacing w:after="0"/>
              <w:rPr>
                <w:sz w:val="12"/>
                <w:szCs w:val="12"/>
                <w:color w:val="auto"/>
              </w:rPr>
            </w:pPr>
          </w:p>
        </w:tc>
        <w:tc>
          <w:tcPr>
            <w:tcW w:w="660" w:type="dxa"/>
            <w:vAlign w:val="bottom"/>
          </w:tcPr>
          <w:p>
            <w:pPr>
              <w:jc w:val="right"/>
              <w:ind w:right="157"/>
              <w:spacing w:after="0" w:line="149" w:lineRule="exact"/>
              <w:rPr>
                <w:sz w:val="20"/>
                <w:szCs w:val="20"/>
                <w:color w:val="auto"/>
              </w:rPr>
            </w:pPr>
            <w:r>
              <w:rPr>
                <w:rFonts w:ascii="Arial" w:cs="Arial" w:eastAsia="Arial" w:hAnsi="Arial"/>
                <w:sz w:val="14"/>
                <w:szCs w:val="14"/>
                <w:color w:val="auto"/>
                <w:w w:val="91"/>
              </w:rPr>
              <w:t>Dollars</w:t>
            </w:r>
          </w:p>
        </w:tc>
      </w:tr>
      <w:tr>
        <w:trPr>
          <w:trHeight w:val="173"/>
        </w:trPr>
        <w:tc>
          <w:tcPr>
            <w:tcW w:w="498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(in millions)</w:t>
            </w:r>
          </w:p>
        </w:tc>
      </w:tr>
      <w:tr>
        <w:trPr>
          <w:trHeight w:val="210"/>
        </w:trPr>
        <w:tc>
          <w:tcPr>
            <w:tcW w:w="4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As Reported</w:t>
            </w:r>
            <w:r>
              <w:rPr>
                <w:rFonts w:ascii="Arial" w:cs="Arial" w:eastAsia="Arial" w:hAnsi="Arial"/>
                <w:sz w:val="11"/>
                <w:szCs w:val="11"/>
                <w:color w:val="auto"/>
              </w:rPr>
              <w:t>(1)</w:t>
            </w:r>
          </w:p>
        </w:tc>
        <w:tc>
          <w:tcPr>
            <w:tcW w:w="9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Extraordinary Items, Net</w:t>
            </w:r>
          </w:p>
        </w:tc>
        <w:tc>
          <w:tcPr>
            <w:tcW w:w="920" w:type="dxa"/>
            <w:vAlign w:val="bottom"/>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7"/>
              <w:spacing w:after="0"/>
              <w:rPr>
                <w:sz w:val="20"/>
                <w:szCs w:val="20"/>
                <w:color w:val="auto"/>
              </w:rPr>
            </w:pPr>
            <w:r>
              <w:rPr>
                <w:rFonts w:ascii="Arial" w:cs="Arial" w:eastAsia="Arial" w:hAnsi="Arial"/>
                <w:sz w:val="18"/>
                <w:szCs w:val="18"/>
                <w:color w:val="auto"/>
              </w:rPr>
              <w:t>57</w:t>
            </w:r>
          </w:p>
        </w:tc>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(12)</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Adjusted</w:t>
            </w:r>
            <w:r>
              <w:rPr>
                <w:rFonts w:ascii="Arial" w:cs="Arial" w:eastAsia="Arial" w:hAnsi="Arial"/>
                <w:sz w:val="11"/>
                <w:szCs w:val="11"/>
                <w:color w:val="auto"/>
              </w:rPr>
              <w:t>(2)</w:t>
            </w:r>
          </w:p>
        </w:tc>
        <w:tc>
          <w:tcPr>
            <w:tcW w:w="9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122</w:t>
            </w:r>
          </w:p>
        </w:tc>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As reported in the Company’s 2011 Financial Statements later in this report.</w:t>
      </w:r>
    </w:p>
    <w:p>
      <w:pPr>
        <w:spacing w:after="0" w:line="49" w:lineRule="exact"/>
        <w:rPr>
          <w:rFonts w:ascii="Arial" w:cs="Arial" w:eastAsia="Arial" w:hAnsi="Arial"/>
          <w:sz w:val="22"/>
          <w:szCs w:val="22"/>
          <w:color w:val="auto"/>
          <w:vertAlign w:val="superscript"/>
        </w:rPr>
      </w:pPr>
    </w:p>
    <w:p>
      <w:pPr>
        <w:ind w:left="460" w:hanging="452"/>
        <w:spacing w:after="0" w:line="235"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2011 annual cash bonus plan metric achievement.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Messrs. Newman, Peters, Schmidt and Brown were eligible for a 2011 target bonus of 75% of annual base salary. Ms. Garcia and Ms. Vanderlinde were eligible for a target bonus of 70% of annual base salary. The target bonus percentages for NEOs are set approximately at the Peer Group median for similarly situated NEOs. In light of the company’s 2011 performance as compared to the bonus metrics, the NEOs received the cash bonus set forth in the “Non-Equity Incentive Plan” column of the Summary Compensation Table.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2012 Base Salary and Annual Cash Bonus</w:t>
      </w:r>
      <w:r>
        <w:rPr>
          <w:rFonts w:ascii="Arial" w:cs="Arial" w:eastAsia="Arial" w:hAnsi="Arial"/>
          <w:sz w:val="16"/>
          <w:szCs w:val="16"/>
          <w:color w:val="auto"/>
        </w:rPr>
        <w:t xml:space="preserve"> — The Compensation Committee approved changes in base salary and/or target bonus percentage effective as of April 1, 2012 for the following NEOs: (i) Mr. Peters’ base salary was increased to $675,000 and his target bonus percentage was increased to 85% to reflect his responsibility for all of the company’s North American business, previously handled by two business unit Presidents; (ii) the target bonus percentage for both Messrs. Newman and Schmidt was increased to 85% to reflect increases in responsibility in 2011 as a result of the changes in the company’s reporting structure and in connection with Mr. Brown’s termination from employment; and (iii) Ms. Garcia’s base salary was increased to $500,000 to recognize performance since joining the company in 2007 and to address below market base salary.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Long-Term Equity Incentive</w:t>
      </w:r>
      <w:r>
        <w:rPr>
          <w:rFonts w:ascii="Arial" w:cs="Arial" w:eastAsia="Arial" w:hAnsi="Arial"/>
          <w:sz w:val="16"/>
          <w:szCs w:val="16"/>
          <w:color w:val="auto"/>
        </w:rPr>
        <w:t xml:space="preserve"> — The Compensation Committee believes that providing equity grants is an effective means to focus the NEOs on driving share price appreciation and delivering long-term value to shareholders. The 2011 equity grant to each of the NEOs was based on the Compensation Committee’s consideration of the following items: (i) long-term incentive grants to NEOs in the Peer Group, (ii) availability of shares under the 2007 Long-Term Incentive Plan and the annual “burn rate” of shares under the 2007 Long-Term Incentive Plan based on ISS calculation methodology, and (iii) the company’s recent financial performance. On May 3, 2011, the NEOs received non-qualified stock options at an option price of $5.34, which was equal to 125% of the closing stock price on such date, and restricted shares of the company’s common stock in the amounts set forth in the Grants of Plan Based Awards Table. All of the equity granted in 2011 has a three year pro-rata vesting period based on the grant date, and the non-qualified stock options granted have a seven year exercise period. See “Response to 2011 Say on Pay Vote” for a discussion of changes made to the long-term equity incentive program for fiscal year 2012.</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Retention Payments</w:t>
      </w:r>
      <w:r>
        <w:rPr>
          <w:rFonts w:ascii="Arial" w:cs="Arial" w:eastAsia="Arial" w:hAnsi="Arial"/>
          <w:sz w:val="16"/>
          <w:szCs w:val="16"/>
          <w:color w:val="auto"/>
        </w:rPr>
        <w:t xml:space="preserve"> — In 2010, in connection with the resignation of Steve Odland, the company’s former Chief Executive Officer, the company entered into a Retention Agreement with Mr. Newman under which he is eligible to earn a retention payment of up to $1,937,500 payable in two installments – upon the filing of the Annual Reports on Form 10-K for the fiscal years ended December 31, 2010 and December 31, 2011. The Compensation Committee felt that it was important at the time of Mr. Odland’s departure and in light of the uncertainty at the CEO position to retain the company’s Chief Financial Officer for the next two annual reporting cycles. On March 11, 2011, Mr. Newman received the first payment of $937,500 under his Retention Agreement.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in 2010, the company entered into a Retention Agreement with Ms. Garcia under which she is eligible to earn a retention payment of up to $1,500,000 payable in three equal installments, as long as she remains actively employed with the company until each Retention Payment Date (as defined in the Retention Agreement). The Compensation Committee felt that stability in the corporate governance area was important for the company and therefore entered into the Retention Agreement with Ms. Garcia. The first payment to Ms. Garcia pursuant to the Retention Agreement was made on November 10, 2011.</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further below, in connection with his termination, in September 2011, Mr. Brown received a $3 million retention bonus that the Compensation Committee had negotiated with Mr. Brown in April 2010 in exchange for Mr. Brown waiving his walk-away right under his change in control agreement which was in effect at the time.</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Arrangements with Former Executive Officers</w:t>
      </w:r>
      <w:r>
        <w:rPr>
          <w:rFonts w:ascii="Arial" w:cs="Arial" w:eastAsia="Arial" w:hAnsi="Arial"/>
          <w:sz w:val="16"/>
          <w:szCs w:val="16"/>
          <w:color w:val="auto"/>
        </w:rPr>
        <w:t>. In September 2011, Mr. Brown, President, International, was terminated from employment. In connection with his termination and pursuant to the terms of his previously negotiated Executive Employment Agreement, Mr. Brown was entitled to receive a severance payment of $4,401,209, which included a $3 million retention bonus that the Compensation Committee had negotiated with Mr. Brown in April 2010 in exchange for Mr. Brown waiving his walk-away right under his change in control agreement which was in effect at the time. For additional information on Mr. Brown’s severance payment, see “Summary of Executive Agreements and Potential Payments Upon Termination or Change in Control.” In August 2011, Ms. Vanderlinde, Executive Vice President of Human Resources, was terminated, and pursuant to her Separation Agreement, received a severance payment of $1,572,296, which included amounts owed to her pursuant to her previously negotiated Employment Offer Letter Agreement and an additional payment to obtain her release of any and all claims against the company.</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Response to 2011 Say on Pay Vote</w:t>
      </w:r>
      <w:r>
        <w:rPr>
          <w:rFonts w:ascii="Arial" w:cs="Arial" w:eastAsia="Arial" w:hAnsi="Arial"/>
          <w:sz w:val="16"/>
          <w:szCs w:val="16"/>
          <w:color w:val="auto"/>
        </w:rPr>
        <w:t>. At the company’s 2011 Annual Shareholders Meeting, the company had on the ballot, for the first time, a non-binding resolution for shareholders to approve elements of the compensation of the NEOs, as described in the CD&amp;A, the compensation tables, and the accompanying narrative disclosure issued with respect to that meeting. Although the company’s 2010 compensation program for NEOs received a passing vote on its Say on Pay proposal at its 2011 Annual Shareholders Meeting in April, approximately one-third of the votes cast did not support the measure. As a result, the company engaged in dialogue with its largest shareholders, as explained below, and the Compensation Committee considered the concerns of shareholders as evidenced by the vote, and continued to focus on changes to further strengthen the link between NEO compensation and performance.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2011 Say on Pay vote, the company and the Compensation Committee Chair engaged in thorough discussions of the executive compensation program with certain of the company’s largest shareholders. A number of these shareholders informed us that the dialogue had enabled them to increase their understanding of the company’s compensation program. Several of these shareholders focused on matters related to:</w:t>
      </w:r>
    </w:p>
    <w:p>
      <w:pPr>
        <w:spacing w:after="0" w:line="14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desire that long-term compensation be linked to long-term performance of the company;</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combined role of Chair and CEO;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membership on the Compensation Committee of Raymond Svider, a representative of BC Partners.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Compensation Committee has reviewed the investor feedback received in connection with the 2011 Annual Meeting and has deliberated extensively concerning the results of the 2011 Say on Pay vote on fiscal 2010 executive compensation. No specific component of the program was altered for 2011 based on shareholder feedback, since it was received after the Compensation Committee had established the fiscal 2011 annual compensation program. However, as a result of the investor feedback, as well as the discussions with Hay Group, our compensation consultant, and management, the Compensation Committee approved a newly designed long-term incentive program for fiscal year 2012 to continue to align the interests of executive management with shareholders while providing stretch goals and retention value for the NEOs (other than the Chair and CEO):</w:t>
      </w:r>
    </w:p>
    <w:p>
      <w:pPr>
        <w:spacing w:after="0" w:line="161"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2012 Long-Term Incentive Program provides an award based on a targeted value broken down as follows:</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25% of the value of the grant in restricted stock, vesting one-third each year for 3 years;</w:t>
      </w:r>
    </w:p>
    <w:p>
      <w:pPr>
        <w:spacing w:after="0" w:line="211" w:lineRule="exact"/>
        <w:rPr>
          <w:rFonts w:ascii="Arial" w:cs="Arial" w:eastAsia="Arial" w:hAnsi="Arial"/>
          <w:sz w:val="18"/>
          <w:szCs w:val="18"/>
          <w:color w:val="auto"/>
        </w:rPr>
      </w:pPr>
    </w:p>
    <w:p>
      <w:pPr>
        <w:ind w:left="660" w:hanging="206"/>
        <w:spacing w:after="0" w:line="268"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25% of the value of the grant in performance-based restricted stock units, with a one year performance period, and time-based vesting one-third each year for 3 years; and</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50% of the value of the grant in performance-based cash, with a one year performance period, and time-based vesting one-third each year over 3 years.</w:t>
      </w:r>
    </w:p>
    <w:p>
      <w:pPr>
        <w:spacing w:after="0" w:line="246" w:lineRule="exact"/>
        <w:rPr>
          <w:rFonts w:ascii="Arial" w:cs="Arial" w:eastAsia="Arial" w:hAnsi="Arial"/>
          <w:sz w:val="15"/>
          <w:szCs w:val="15"/>
          <w:color w:val="auto"/>
        </w:rPr>
      </w:pPr>
    </w:p>
    <w:p>
      <w:pPr>
        <w:jc w:val="both"/>
        <w:ind w:left="220" w:hanging="212"/>
        <w:spacing w:after="0" w:line="298"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performance cash and performance stock units are based on whether the company achieves an EBIT target set by the Board under the 2012 annual operating plan, with the EBIT metric designed to allow a leveraging up if 2012 results exceed the EBIT target, subject to a maximum EBIT, or a leveraging down if 2012 results are below target, but at or above a threshold EBIT. If actual EBIT for 2012 is less than threshold, then the performance cash and performance stock units are forfeited and only the time-vested restricted stock (25% of opportunity) will remain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evaluating changes to the CEO’s compensation in light of Say on Pay.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chose not to make changes regarding certain matters raised by shareholders, including:</w:t>
      </w:r>
    </w:p>
    <w:p>
      <w:pPr>
        <w:spacing w:after="0" w:line="212"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Regarding the combined role of Chair and CEO, the company believes this is an effective leadership structure for the company at this time.</w:t>
      </w:r>
    </w:p>
    <w:p>
      <w:pPr>
        <w:spacing w:after="0" w:line="211" w:lineRule="exact"/>
        <w:rPr>
          <w:rFonts w:ascii="Arial" w:cs="Arial" w:eastAsia="Arial" w:hAnsi="Arial"/>
          <w:sz w:val="18"/>
          <w:szCs w:val="18"/>
          <w:color w:val="auto"/>
        </w:rPr>
      </w:pPr>
    </w:p>
    <w:p>
      <w:pPr>
        <w:jc w:val="both"/>
        <w:ind w:left="220" w:hanging="212"/>
        <w:spacing w:after="0" w:line="298"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Regarding the membership on the Compensation Committee of Raymond Svider, a representative of BC Partners, the company believes that the participation of a 20% owner of the company on the Compensation Committee is a good practice since such a director is highly motivated to rigorously oversee compensation and is well-positioned to exercise independent judgment regarding compensation. In fact, the interests of representatives of major shareholders are generally aligned with those of other shareholders with respect to the oversight of executive compensation.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Framework</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goal of the company’s compensation program for NEOs is to retain and reward executives who create long-term value for shareholders without excessive risk taking. This section discusses the Compensation Committee’s compensation philosophy; the roles of the Compensation Committee, the Board, management, and independent compensation consultants in establishing NEO compensation; peer group benchmarking; and the importance of pay-for-performance and aligning shareholder interests in designing NEO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executive compensation program is constructed to align the interests of executive management with shareholders, attract and retain highly qualified individuals, and create long-term value while not incentivizing excessive risk taking. The Compensation Committee is guided by the following key principles in determining the compensation structure for the company’s executives: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color w:val="auto"/>
        </w:rPr>
        <w:t>. Compensation should reflect the competitive marketplace, so the company can attract, retain, and motivate talented executives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business cycles.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Accountability for Business Performance</w:t>
      </w:r>
      <w:r>
        <w:rPr>
          <w:rFonts w:ascii="Arial" w:cs="Arial" w:eastAsia="Arial" w:hAnsi="Arial"/>
          <w:sz w:val="18"/>
          <w:szCs w:val="18"/>
          <w:color w:val="auto"/>
        </w:rPr>
        <w:t>. Compensation should be tied in part to the company’s financial and operating performance, so that executives are held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accountable through their compensation for the performance of the businesses for which they are responsible and for achieving the company’s annual operating plan.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Accountability for Long-Term Performance</w:t>
      </w:r>
      <w:r>
        <w:rPr>
          <w:rFonts w:ascii="Arial" w:cs="Arial" w:eastAsia="Arial" w:hAnsi="Arial"/>
          <w:sz w:val="18"/>
          <w:szCs w:val="18"/>
          <w:color w:val="auto"/>
        </w:rPr>
        <w:t>. Compensation should include meaningful incentives to create long-term shareholder value while not incentivizing</w:t>
      </w:r>
      <w:r>
        <w:rPr>
          <w:rFonts w:ascii="Arial" w:cs="Arial" w:eastAsia="Arial" w:hAnsi="Arial"/>
          <w:sz w:val="18"/>
          <w:szCs w:val="18"/>
          <w:i w:val="1"/>
          <w:iCs w:val="1"/>
          <w:color w:val="auto"/>
        </w:rPr>
        <w:t xml:space="preserve"> </w:t>
      </w:r>
      <w:r>
        <w:rPr>
          <w:rFonts w:ascii="Arial" w:cs="Arial" w:eastAsia="Arial" w:hAnsi="Arial"/>
          <w:sz w:val="18"/>
          <w:szCs w:val="18"/>
          <w:color w:val="auto"/>
        </w:rPr>
        <w:t>excessive risk taking.</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implement the key principles, the compensation structure consists of the following elements: base salary, performance-based annual cash bonus, and long-term cash and equity incentives. Balanced benefits that align with those provided to the larger employee population are also provided. Perquisites are only provided to attract and retain talented executives, as competitively necessary.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color w:val="auto"/>
        </w:rPr>
        <w:t>. The base salary component is designed to provide a competitively comparable fixed amount of compensation that is less than a majority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target compensation, which is comprised of base salary, short and long-term incentives, and benefits.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Annual Cash Bonus</w:t>
      </w:r>
      <w:r>
        <w:rPr>
          <w:rFonts w:ascii="Arial" w:cs="Arial" w:eastAsia="Arial" w:hAnsi="Arial"/>
          <w:sz w:val="16"/>
          <w:szCs w:val="16"/>
          <w:color w:val="auto"/>
        </w:rPr>
        <w:t>. The performance-based annual cash bonus is designed to link compensation to shareholder interests. Bonus target percentages are set</w:t>
      </w:r>
      <w:r>
        <w:rPr>
          <w:rFonts w:ascii="Arial" w:cs="Arial" w:eastAsia="Arial" w:hAnsi="Arial"/>
          <w:sz w:val="16"/>
          <w:szCs w:val="16"/>
          <w:i w:val="1"/>
          <w:iCs w:val="1"/>
          <w:color w:val="auto"/>
        </w:rPr>
        <w:t xml:space="preserve"> </w:t>
      </w:r>
      <w:r>
        <w:rPr>
          <w:rFonts w:ascii="Arial" w:cs="Arial" w:eastAsia="Arial" w:hAnsi="Arial"/>
          <w:sz w:val="16"/>
          <w:szCs w:val="16"/>
          <w:color w:val="auto"/>
        </w:rPr>
        <w:t>targeting toward the median of the Peer Group, and the bonus is paid at target for reaching annual operating plan financial goals but is leveraged up and down for above and below plan performance, respectively. The total target cash level approximates the Peer Group median when the company meets its performance goals. The annual cash bonus plan is designed to provide increased incentive payouts when company performance significantly exceeds target levels, and to provide reduced incentive payouts when performance is below target but above threshold levels. The annual cash bonus plan design may also include a discretionary portion of the annual performance-based cash bonus to enable the Compensation Committee to address issues such as risk, quality of performance, and adherence to the company’s Code of Ethical Behavior. The Compensation Committee did not exercise discretion in fiscal 2011.</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u w:val="single" w:color="auto"/>
          <w:color w:val="auto"/>
        </w:rPr>
        <w:t>Long-Term Equity Incentive</w:t>
      </w:r>
      <w:r>
        <w:rPr>
          <w:rFonts w:ascii="Arial" w:cs="Arial" w:eastAsia="Arial" w:hAnsi="Arial"/>
          <w:sz w:val="16"/>
          <w:szCs w:val="16"/>
          <w:color w:val="auto"/>
        </w:rPr>
        <w:t>. The long-term incentive component is designed to incentivize achievement of the company’s operating plan and to balance short-term performance rewards with those for sustained long-term performance results that create value for the company’s shareholders. The long-term incentive is instrumental in retaining the NEOs and permits the granting of non-qualified stock options, restricted stock, performance shares, and/or performance-based cash. Long-term incentive opportunities are structured to be at the median of the Peer Group with opportunity for increased grants for superior performance. In 2011, a minimum of 50% of the equity component for NEOs was tied to performance.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Executive Compensation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Role of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the Compensation Committee conducts an initial review of management’s recommendations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design for the following year, evaluates these recommendations, consults with Hay Group, which is the Compensation Committee’s independent compensation consultant, and reviews the company’s Peer Group data. After year-end when financial results for the prior year are available, the Compensation Committee reviews performance against targets for the prior year, approves payouts under prior year compensation plans where applicable, and reviews the proposed executive compensation design with this backdrop before providing approval of the salary, bonus target percentages, and long-term incentive grants and awards for the NEOs (other than the CEO) for the new year. Annually, the Compensation Committee recommends to the Board for approval: a payout to the CEO under prior year compensation plans where applicable, and the salary, bonus target percentages, and long-term incentive grants and awards for the CEO for the new year. The Compensation Committee also approves the metrics, including financial and performance goals, to be used in assessing annual performance and determining target annual bonuses.</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course of the year, the Compensation Committee: reviews and approves any new employment arrangements for NEOs other than the CEO (for whom it makes recommendations to the Board and then negotiates with the CEO to implement the Board’s decisions); reviews, approves, and recommends changes in the perquisites and benefits provided to the NEOs; reviews and makes recommendations to the Board on the composition of the Peer Group used for benchmarking purposes and the company’s executive compensation programs and policies; reviews the company’s executive compensation disclosures in the company’s annual proxy statement; reviews the company’s stock ownership guidelines for the company’s NEOs and Directors against the company’s Peer Group and tracks the progress of the NEOs and Directors in satisfying such guidelines within the required time frame; approves new executive compensation plans and material amendments to existing executive compensation plans; reviews its charter and recommends changes to the Board where applicable; engages and directly monitors independent compensation consultant(s) to study and make recommendations regarding Director or NEO compensation matters; and reviews the risks related to the company’s incentive compensation practices and programs</w:t>
      </w:r>
      <w:r>
        <w:rPr>
          <w:rFonts w:ascii="Arial" w:cs="Arial" w:eastAsia="Arial" w:hAnsi="Arial"/>
          <w:sz w:val="16"/>
          <w:szCs w:val="16"/>
          <w:b w:val="1"/>
          <w:bCs w:val="1"/>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meets at least quarterly during which it also meets in executive session without management present.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Role of the Board</w:t>
      </w:r>
      <w:r>
        <w:rPr>
          <w:rFonts w:ascii="Arial" w:cs="Arial" w:eastAsia="Arial" w:hAnsi="Arial"/>
          <w:sz w:val="18"/>
          <w:szCs w:val="18"/>
          <w:color w:val="auto"/>
        </w:rPr>
        <w:t>. The Board receives reports from the Compensation Committee on its actions and recommendations following every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and then acts as it determines appropriate on the Compensation Committee’s recommendations. The Board also approves the terms of the compensation package and employment agreements for the CEO.</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Role of Management</w:t>
      </w:r>
      <w:r>
        <w:rPr>
          <w:rFonts w:ascii="Arial" w:cs="Arial" w:eastAsia="Arial" w:hAnsi="Arial"/>
          <w:sz w:val="18"/>
          <w:szCs w:val="18"/>
          <w:color w:val="auto"/>
        </w:rPr>
        <w:t>. The Compensation Committee believes that even the best advice of a compensation consultant or other outside advisors must be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input from management and the Compensation Committee’s own individual experiences and best judgment to arrive at the proper alignment of compensation philosophy, programs, and practices.</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Role of Independent Compensation Consultant</w:t>
      </w:r>
      <w:r>
        <w:rPr>
          <w:rFonts w:ascii="Arial" w:cs="Arial" w:eastAsia="Arial" w:hAnsi="Arial"/>
          <w:sz w:val="18"/>
          <w:szCs w:val="18"/>
          <w:color w:val="auto"/>
        </w:rPr>
        <w:t>. In relation to their engagement, Hay Group also provided compensation data, and reviewed and advised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on: negotiating executive employment agreements, responding to shareholder concerns reflected in the 2011 Say on Pay vote, and developing the Peer Group.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Benchmarking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believes benchmarking is a useful method to gauge the compensation level for executive talent within competitive job markets that are germane to the company. The Compensation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reviews data gathered from Peer Group proxies as well as survey data from Hay Group for benchmarking purposes. Data from Proxy Statements and Hay Group’s retail industry survey provide specific Peer Group NEO information concerning base salaries, bonuses, long-term incentives, and benefit/perquisite prevalence. However, the Peer Group and Hay Group survey data are not used in isolation. NEO compensation also takes into consideration the company’s financial performance and the financial performance of the Peer Group. This information is then used to analyze each NEO’s individual performance and tenure in his/her current position. After a review of the benchmarking data and the other factors mentioned, the Compensation Committee determines any changes to the NEO compensation positioning, target total direct compensation structures (i.e., sum of salary, annual bonus, and equity awards), variable compensation program design, and/or benefit and perquisite offerings, if necessary. When making compensation decisions, the Compensation Committee considers each element of compensation individually, but also considers the target total direct compensation as well as the mix of compensation paid to the NEOs.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Compensation Committee has developed specific criteria to select the company’s Peer Group and reviews the criteria annually to determine if modifications are necessary. The guiding criteria used in 2011 were the same as 2010 and included, but were not limited to: companies with revenues within one half to two times the company’s revenue, a retail or direct to customer business model, a business to business model, significant global operations, and a significant distribution function. Companies selected for the Peer Group were required to have a number of these characteristics, but not all of them.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2011, no changes were made to the company’s 2010 Peer Group, which consisted of the following nineteen organizations: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Amazon.com</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J.C. Penney Co., Inc.</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w w:val="88"/>
              </w:rPr>
              <w:t>Starbucks Corporation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Arrow Electronics, Inc.</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Kohl’s Corporation</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w w:val="86"/>
              </w:rPr>
              <w:t>Tech Data Corporation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Avnet, Inc.</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Limited Brands, Inc.</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w w:val="94"/>
              </w:rPr>
              <w:t>TJX Companies, Inc.</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   Best Buy Co., Inc.</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Macy’s, Inc.</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rPr>
              <w:t>W.W. Grainger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GameStop</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OfficeMax Inc.</w:t>
            </w: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Yum! Brands, Inc.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Gap Inc.</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Rite Aid Corporation</w:t>
            </w: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Genuine Parts Company</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Staples, Inc.</w:t>
            </w: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Aligning Executive Compensation with Shareholder Interests</w:t>
      </w:r>
    </w:p>
    <w:p>
      <w:pPr>
        <w:spacing w:after="0" w:line="17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Compensation Committee believes there should be a key link between compensation and shareholder interests. The Compensation Committee recognizes that shareholder interests are protected when the company pays the NEOs competitively, but not in excess of market, relative to competitive benchmarks such as the company’s Peer Group and applicable survey data. When designing the compensation program, the Compensation Committee strives to provide an appropriate mix of different compensation elements, including short-term and long-term, fixed and variable, and cash and equity components, and to provide smaller rewards for short-term performance and larger rewards for long-term performance. The Compensation Committee also designs the compensation program to provide meaningful rewards to the NEOs which align with the short-term and long-term objectives of the company without encouraging undue risk taking.</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NEOs receive their short-term, fixed, cash component in base salary, their short-term, variable, cash component under the annual cash bonus plan, and their long-term variable equity and cash components under the long-term incentive plan. Cash payments reward short-term and long-term performance, while equity rewards encourage our NEOs to deliver results over a longer period of time and serve as a retention tool. For fiscal year 2012, the cash payment under the long-term incentive program will also serve as a retention tool and the performance-based equity awards will align NEOs interests with those of stockholders. The Compensation Committee believes that a portion of NEO compensation should be at risk by basing it on the company’s operating and stock price performance over the long term, which disincentivizes taking excessive short-term risks which may negatively impact long-term performance. In establishing the total compensation package, at least half of total target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is awarded in variable pay. Variable pay is reviewed by the Compensation Committee on an annual basis to ensure that the metrics selected provide appropriate rewards for the achievement of the goals and priorities identified by the Board and the NEOs in the annual operating business plan as key to the company’s stability and growth.</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periodically monitors the company’s incentive plans throughout the year to ensure that the incentive plans do not encourage undue risk taking and appropriately balance risk and reward consistent with the company’s enterprise risk management efforts.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views the annual cash bonus plan and the long-term equity incentive plan as key links between NEO compensation and the creation of shareholder value as each of these programs provide meaningful rewards to the NEOs for satisfying performance targets the Compensation Committee has identified as key drivers in the short-term and long-term success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Compensation</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provides the NEOs with a set of core benefits (e.g., coverage for medical, dental, vision care, prescription drugs, annual physical, basic life insurance, long-term disability coverage, and car allowance) plus voluntary benefits that an NEO may select (e.g., supplemental life insurance). The company’s overall benefits philosophy is to focus on the provision of these core benefits, with NEOs able to use their cash compensation to obtain such other benefits as they individually determine to be appropriate. The company provides health and life insurance benefits; but consistent with the Peer Group, does not provide substantial perquisites. The following events related to the company’s benefits and perquisites for the NEOs took place in 2011:</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Retirement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2011, the company restarted a matching contribution to the 401(k) plan for all participants, including the NEOs, to motivate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employees. The matching contribution is equal to 50% of employee deferrals on the first 4% of eligible earnings (up to plan limits). The matching contribution is below market. The company continues to maintain three non-qualified deferred compensation plans which remain frozen to new contributions. The company does not sponsor a pension plan.</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Mr. Austrian’s Benefits and 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Mr. Austrian did not receive any of the core benefits and perquisites during his service as Interim Chair and CEO;</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effective with his election to serve as the Chair and CEO on May 23, 2011, he participates in all of the core benefits and perquisites provided to the NEOs other than the car allowance program, which he voluntarily opted out of under his letter agreement (as described in the “Summary of Executive Agreements and Potential Payments Upon Termination or Change in Control” section).</w:t>
      </w:r>
    </w:p>
    <w:p>
      <w:pPr>
        <w:spacing w:after="0" w:line="14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u w:val="single" w:color="auto"/>
          <w:color w:val="auto"/>
        </w:rPr>
        <w:t>Executive Medical Plan</w:t>
      </w:r>
      <w:r>
        <w:rPr>
          <w:rFonts w:ascii="Arial" w:cs="Arial" w:eastAsia="Arial" w:hAnsi="Arial"/>
          <w:sz w:val="15"/>
          <w:szCs w:val="15"/>
          <w:i w:val="1"/>
          <w:iCs w:val="1"/>
          <w:color w:val="auto"/>
        </w:rPr>
        <w:t xml:space="preserve">. </w:t>
      </w:r>
      <w:r>
        <w:rPr>
          <w:rFonts w:ascii="Arial" w:cs="Arial" w:eastAsia="Arial" w:hAnsi="Arial"/>
          <w:sz w:val="15"/>
          <w:szCs w:val="15"/>
          <w:color w:val="auto"/>
        </w:rPr>
        <w:t>In October 2011, the Compensation Committee approved terminating coverage of the executives, including the NEOs,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medical plan effective January 1, 2012. The executive medical plan provided enhanced medical, dental, vision, and pharmacy benefits to the executives. Due to rising health care costs, the executive medical plan has significantly increased in cost in recent years. The Compensation Committee determined that it was not prudent for the company to continue to provide benefits to the executives under the executive medical plan. As of January 1, 2012, the executives are now eligible to participate in the company’s medical, dental, vision, and pharmacy benefit programs available to the broad-based full-time employees.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NEO Employment Arrangements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is party to various employment arrangements, including written offer letters, employment agreements, change in control agreements, and retention agreements with certain of our NEOs, that provide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additional and future compensation of such NEOs for satisfying specified service requirements, in the event of certain types of terminations and, in some cases, in the event of a change in control of the company. The terms of these arrangements are usually established in connection with the NEOs’ initial hire by the company. The termination of employment provisions in the employment arrangements were entered into to address competitive concerns at the time the NEOs were recruited, by providing those individuals with a fixed amount of compensation that would offset the potential risk of leaving their prior employer or forgoing other opportunities to join the company.</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believes the change in control agreements effectively create incentives for the NEOs to build shareholder value and to obtain the highest value possible should the company be acquired in the future, despite the risk of losing employment and potentially not having the opportunity to otherwise vest in equity awards which comprise a significant component of each NEO’s compensation. In addition, these arrangements are necessary to attract and retain qualified executives who may have other job alternatives that may appear to them to be less risky absent these arrangements, which is particularly important to the company given the high levels of competition for executive talent in the retail sector. For additional information on the employment arrangements the company is party to with certain of our NEOs, see “Summary of Executive Agreements and Potential Payments Upon Termination or Change in Control.”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Policies and Matters Related to Executive Compensation</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Incentive Plan Risk Review</w:t>
      </w:r>
      <w:r>
        <w:rPr>
          <w:rFonts w:ascii="Arial" w:cs="Arial" w:eastAsia="Arial" w:hAnsi="Arial"/>
          <w:sz w:val="16"/>
          <w:szCs w:val="16"/>
          <w:color w:val="auto"/>
        </w:rPr>
        <w:t>. The Compensation Committee has generally reviewed, analyzed and discussed the executive compensation incentive programs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context of how the current global economic and financial situation might affect the program. The Compensation Committee, in conjunction with the Audit Committee, received reports on all of the company’s 100+ global incentive plans, which were discussed to ensure that the plans did not incentivize excessive risk and rewarded the behavior the company wishes to reward. The committees jointly reported to the Board that they do not believe that any aspects of the compensation program encourage the NEOs to take unnecessary and excessive risks. The committees highlighted the progress the company has made in strengthening governance and ensuring a strong correlation between the company’s operating objectives and the objectives of the incentive programs. Additionally, the financial goals set forth in the corporate annual cash bonus plan are based upon performance targets that the Compensation Committee believes are attainable without the need to take inappropriate risks or make material changes to the company’s business or strategy. In addition, the 2007 Long-Term Incentive Plan awards that vest over a three-year period mitigate against taking short-term risks. Finally, the equity component of the company’s compensation program coupled with the company’s stock ownership guidelines, which expose NEOs to the loss of the value of retained equity if stock prices decline, incentivize NEOs to focus on long-term share appreciation.</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u w:val="single" w:color="auto"/>
          <w:color w:val="auto"/>
        </w:rPr>
        <w:t>Recoupment Policy</w:t>
      </w:r>
      <w:r>
        <w:rPr>
          <w:rFonts w:ascii="Arial" w:cs="Arial" w:eastAsia="Arial" w:hAnsi="Arial"/>
          <w:sz w:val="16"/>
          <w:szCs w:val="16"/>
          <w:color w:val="auto"/>
        </w:rPr>
        <w:t>. In February 2010, the Board adopted a policy for recoupment of incentive compensation. The policy provides that if the company restates its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financial results for any period beginning after January 1, 2010, the Board will review the bonus and other awards made to executive officers based on financial results during the period subject to the restatement. To the extent practicable and in the best interests of shareholders, the Board will seek to recover or cancel any such awards that were based on having met or exceeded performance targets that would not have been met under the restated financial results.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Anti-Hedging Policy</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2011, the Board adopted an anti-hedging policy which prohibits hedging transactions with respect to company securities by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executive officers and all other employees.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Stock Ownership Guidelines for NEOs</w:t>
      </w:r>
      <w:r>
        <w:rPr>
          <w:rFonts w:ascii="Arial" w:cs="Arial" w:eastAsia="Arial" w:hAnsi="Arial"/>
          <w:sz w:val="18"/>
          <w:szCs w:val="18"/>
          <w:color w:val="auto"/>
        </w:rPr>
        <w:t>. The Compensation Committee believes that the NEOs should maintain a meaningful equity interest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ownership of stock. The Peer Group data includes the use of both multiples of base salary and target share amounts, with the multiple of base salary approach being the prevalent methodology in the Peer Group. In October 2011, the Compensation Committee enhanced the company’s executive stock ownership guidelines to increase the required levels of stock ownership for the Chair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CEO and for the other NEOs to more closely reflect the ownership guidelines of the company’s competitors and Peer Group and current corporate governance trends. The enhanced guidelines used for the NEOs continue to be within the target range for the Peer Group.</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enhanced guidelines, the Chair and CEO is expected to hold company stock equal to at least either: 700,000 shares, or a multiple equal to five times his annual base salary, to be satisfied within five years of assuming his position. Under the enhanced guidelines, the other NEOs are expected to hold company stock equal to at least either: 250,000 shares, or a multiple equal to three times each individual’s annual base salary, to be satisfied within five years of becoming a Section 16(b) officer of the company. The amount of stock required to satisfy the ownership requirement must be held by each NEO until termination of employment with the company. The Compensation Committee also adopted a restriction on an NEO’s right to sell stock during the initial five year period prior to such individual satisfying the required ownership. The restriction requires that the NEO retain 50% of the net shares (after shares are disposed of to pay for taxes and acquisition). For purposes of determining compliance with these stock ownership guidelines, the following types of equity are considered: shares held outright (including restricted stock for which the restrictions have lapsed and shares purchased on the open market), unvested restricted stock subject to time vesting requirements only, vested restricted stock units, and the spread between fair market value and exercise price for vested in-the-money stock options. The current guidelines are deemed competitive according to market data. The Compensation Committee annually reviews each NEO’s progress toward meeting the ownership guidelines. As of February 15, 2012, all of our currently employed NEOs satisfied their stock ownership requirements.</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 2012, the Compensation Committee will again review the executive stock ownership guidelines and determine if any changes are warranted in either the level of shares required to be held or in the methodology to calculate the ownership level (i.e., multiple of salary or fixed number of shares).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Deductibility of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Internal Revenue Code of 1986, as amended (“Code”), generally does not allow a tax deduction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to public companies for compensation in excess of $1 million paid to the CEO or any of the other NEOs, excluding the Chief Financial Officer. Certain compensation is specifically exempt from the deduction limit to the extent that it does not exceed $1 million during any fiscal year or is “performance based” as defined in Code Section 162(m). The Compensation Committee strives to structure NEO compensation to come within the deductibility limits set in Code Section 162(m) whenever possible. However, the Compensation Committee believes that it must maintain the flexibility to take actions which it deems to be in the best interests of the company but which may not qualify for tax deductibility under Code Section 162(m).</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year 2011, the only NEO who received an annual base salary in excess of $1,000,000 was Mr. Austrian, whose annual base salary as Chair and CEO is $1,100,000. A portion of the compensation paid to Messrs. Austrian, Peters and Schmidt and Ms. Garcia will not be deductible for tax purposes for 2011 pursuant to Code Section 162(m). For fiscal year 2011, the lost deduction was approximately $1.3 million.</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Code Section 162(m), the Compensation Committee considered other tax and accounting provisions in developing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pay programs for the NEOs. These include the special rules applicable to fair value based methods of accounting for stock compensation and the overall income tax rules applicable to various forms of compensation. While the Compensation Committee tried to compensate the NEOs in a manner that produced favorable tax and accounting treatment, the main objective was to develop fair and equitable compensation arrangements that appropriately incentivized, rewarded, and retained the NEOs.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Compensation Committee of the Board of Directors of the company has reviewed and discussed this Compensation Discussion and Analysis required by Item 402(b) of Regulation S-K with the company’s management and, based on such review and discussion, the Compensation Committee recommended to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of Directors that the Compensation Discussion and Analysis be included in the company’s Annual Report on Form 10-K for the year ended December 31, 2011 as well as in the 2012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Marsha J. Evans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 Scott Hedrick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Svider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2011, the Compensation Committee consisted of: Lee A. Ault and David W. Bernauer (who both served through the 2011 Annual Meeting), Marsha J. Evans, W. Scott Hedrick, and Raymond Svider. All members of the Committee were Independent Directors, and no member was an employee or former employee of the company. During fiscal year 2011, none of the company’s executive officers served on the board of directors or compensation committee (or other committee serving an equivalent function) of another entity whose executive officer served on the company’s Board of Directors or Compensation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PROGRAMS RISK ASSESSMENT</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Compensation Committee has assessed the company’s compensation programs and has concluded that the company’s compensation policies and practices do not create risks that are reasonably likely to have a material adverse effect on the company. The company has conducted a risk assessment that included a detailed qualitative and quantitative analysis of its compensation and benefit programs to which employees at all levels of the organization may participate, including the NEOs. The Compensation Committee considered how the design of the company’s compensation programs compares to compensation programs maintained by the Peer Group. Based on the company’s assessment, the Compensation Committee believes that the company’s compensation and benefit programs have been appropriately designed to attract and retain talent and properly incentivize employees to act in the best interests of the company. The company’s programs contain various factors to ensure its employees, including the NEOs, are not encouraged to take unnecessary risks in managing the company’s business, such as:</w:t>
      </w:r>
    </w:p>
    <w:p>
      <w:pPr>
        <w:spacing w:after="0" w:line="146"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oversight of compensation and benefits programs (or components of programs) by the Compensation Committee;</w:t>
      </w:r>
    </w:p>
    <w:p>
      <w:pPr>
        <w:spacing w:after="0" w:line="211"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discretion provided to the Compensation Committee (including negative discretion) to set targets, monitor performance and determine final incentive award payouts;</w:t>
      </w:r>
    </w:p>
    <w:p>
      <w:pPr>
        <w:spacing w:after="0" w:line="172" w:lineRule="exact"/>
        <w:rPr>
          <w:rFonts w:ascii="Arial" w:cs="Arial" w:eastAsia="Arial" w:hAnsi="Arial"/>
          <w:sz w:val="18"/>
          <w:szCs w:val="18"/>
          <w:color w:val="auto"/>
        </w:rPr>
      </w:pPr>
    </w:p>
    <w:p>
      <w:pPr>
        <w:ind w:left="220" w:right="20" w:hanging="212"/>
        <w:spacing w:after="0" w:line="268"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oversight of compensation and benefits programs (or components of programs) by a broad-based group of functions within the company, including Human Resources;</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variety of programs that provide focus on both short-and long-term goals and that provide a balanced mixture of cash and equity compensation;</w:t>
      </w:r>
    </w:p>
    <w:p>
      <w:pPr>
        <w:spacing w:after="0" w:line="234" w:lineRule="exact"/>
        <w:rPr>
          <w:rFonts w:ascii="Arial" w:cs="Arial" w:eastAsia="Arial" w:hAnsi="Arial"/>
          <w:sz w:val="16"/>
          <w:szCs w:val="16"/>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incentives focused primarily on the use of financial metrics based on the annual operating plan which is approved by the Board;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service-based vesting conditions with respect to equity-based awards;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pay recoupment policy which provides for recoupment of incentive compensation in the event of a financial restatement.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periodically monitors the company’s incentive plans throughout the year to ensure that the incentive plans do not encourage undue risk taking and appropriately balance risk and reward consistent with the company’s enterprise risk management efforts.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summary of the annual and long-term compensation that the company paid to its NEOs (or deferred for, or that was attributable to/earned) for services rendered during the 2009, 2010, and 2011 fiscal years.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Fiscal Years 2009 - 2011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(a)</w:t>
            </w: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(b)</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(c)</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w w:val="81"/>
              </w:rPr>
              <w:t>(e)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rPr>
              <w:t>(f)</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3"/>
              </w:rPr>
              <w:t>(g)</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3"/>
              </w:rPr>
              <w:t>(h)</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rPr>
              <w:t>(i)</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center"/>
              <w:ind w:right="172"/>
              <w:spacing w:after="0"/>
              <w:rPr>
                <w:sz w:val="20"/>
                <w:szCs w:val="20"/>
                <w:color w:val="auto"/>
              </w:rPr>
            </w:pPr>
            <w:r>
              <w:rPr>
                <w:rFonts w:ascii="Arial" w:cs="Arial" w:eastAsia="Arial" w:hAnsi="Arial"/>
                <w:sz w:val="14"/>
                <w:szCs w:val="14"/>
                <w:color w:val="auto"/>
                <w:w w:val="93"/>
              </w:rPr>
              <w:t>(3)</w:t>
            </w:r>
          </w:p>
        </w:tc>
        <w:tc>
          <w:tcPr>
            <w:tcW w:w="200" w:type="dxa"/>
            <w:vAlign w:val="bottom"/>
          </w:tcPr>
          <w:p>
            <w:pPr>
              <w:spacing w:after="0"/>
              <w:rPr>
                <w:sz w:val="11"/>
                <w:szCs w:val="11"/>
                <w:color w:val="auto"/>
              </w:rPr>
            </w:pPr>
          </w:p>
        </w:tc>
        <w:tc>
          <w:tcPr>
            <w:tcW w:w="800" w:type="dxa"/>
            <w:vAlign w:val="bottom"/>
          </w:tcPr>
          <w:p>
            <w:pPr>
              <w:jc w:val="center"/>
              <w:ind w:right="132"/>
              <w:spacing w:after="0" w:line="131" w:lineRule="exact"/>
              <w:rPr>
                <w:sz w:val="20"/>
                <w:szCs w:val="20"/>
                <w:color w:val="auto"/>
              </w:rPr>
            </w:pPr>
            <w:r>
              <w:rPr>
                <w:rFonts w:ascii="Arial" w:cs="Arial" w:eastAsia="Arial" w:hAnsi="Arial"/>
                <w:sz w:val="14"/>
                <w:szCs w:val="14"/>
                <w:color w:val="auto"/>
                <w:w w:val="87"/>
              </w:rPr>
              <w:t>Change in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2"/>
              <w:spacing w:after="0" w:line="135" w:lineRule="exact"/>
              <w:rPr>
                <w:sz w:val="20"/>
                <w:szCs w:val="20"/>
                <w:color w:val="auto"/>
              </w:rPr>
            </w:pPr>
            <w:r>
              <w:rPr>
                <w:rFonts w:ascii="Arial" w:cs="Arial" w:eastAsia="Arial" w:hAnsi="Arial"/>
                <w:sz w:val="14"/>
                <w:szCs w:val="14"/>
                <w:color w:val="auto"/>
                <w:w w:val="86"/>
              </w:rPr>
              <w:t>Pension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3"/>
              </w:rPr>
              <w:t>(2)</w:t>
            </w:r>
          </w:p>
        </w:tc>
        <w:tc>
          <w:tcPr>
            <w:tcW w:w="24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2"/>
              </w:rPr>
              <w:t>Non-Equity</w:t>
            </w:r>
          </w:p>
        </w:tc>
        <w:tc>
          <w:tcPr>
            <w:tcW w:w="200" w:type="dxa"/>
            <w:vAlign w:val="bottom"/>
          </w:tcPr>
          <w:p>
            <w:pPr>
              <w:spacing w:after="0"/>
              <w:rPr>
                <w:sz w:val="12"/>
                <w:szCs w:val="12"/>
                <w:color w:val="auto"/>
              </w:rPr>
            </w:pPr>
          </w:p>
        </w:tc>
        <w:tc>
          <w:tcPr>
            <w:tcW w:w="80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5"/>
              </w:rPr>
              <w:t>Value and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3"/>
              </w:rPr>
              <w:t>(2)</w:t>
            </w:r>
          </w:p>
        </w:tc>
        <w:tc>
          <w:tcPr>
            <w:tcW w:w="180" w:type="dxa"/>
            <w:vAlign w:val="bottom"/>
          </w:tcPr>
          <w:p>
            <w:pPr>
              <w:spacing w:after="0"/>
              <w:rPr>
                <w:sz w:val="12"/>
                <w:szCs w:val="12"/>
                <w:color w:val="auto"/>
              </w:rPr>
            </w:pPr>
          </w:p>
        </w:tc>
        <w:tc>
          <w:tcPr>
            <w:tcW w:w="64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2"/>
              </w:rPr>
              <w:t>Option</w:t>
            </w:r>
          </w:p>
        </w:tc>
        <w:tc>
          <w:tcPr>
            <w:tcW w:w="24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9"/>
              </w:rPr>
              <w:t>Incentive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NQ Deferred</w:t>
            </w:r>
          </w:p>
        </w:tc>
        <w:tc>
          <w:tcPr>
            <w:tcW w:w="220" w:type="dxa"/>
            <w:vAlign w:val="bottom"/>
          </w:tcPr>
          <w:p>
            <w:pPr>
              <w:spacing w:after="0"/>
              <w:rPr>
                <w:sz w:val="12"/>
                <w:szCs w:val="12"/>
                <w:color w:val="auto"/>
              </w:rPr>
            </w:pPr>
          </w:p>
        </w:tc>
        <w:tc>
          <w:tcPr>
            <w:tcW w:w="98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1"/>
              </w:rPr>
              <w:t>(4)</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5"/>
              </w:rPr>
              <w:t>Stock</w:t>
            </w:r>
          </w:p>
        </w:tc>
        <w:tc>
          <w:tcPr>
            <w:tcW w:w="180" w:type="dxa"/>
            <w:vAlign w:val="bottom"/>
          </w:tcPr>
          <w:p>
            <w:pPr>
              <w:spacing w:after="0"/>
              <w:rPr>
                <w:sz w:val="12"/>
                <w:szCs w:val="12"/>
                <w:color w:val="auto"/>
              </w:rPr>
            </w:pPr>
          </w:p>
        </w:tc>
        <w:tc>
          <w:tcPr>
            <w:tcW w:w="6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Awards</w:t>
            </w:r>
          </w:p>
        </w:tc>
        <w:tc>
          <w:tcPr>
            <w:tcW w:w="24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Plan</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Compensation</w:t>
            </w:r>
          </w:p>
        </w:tc>
        <w:tc>
          <w:tcPr>
            <w:tcW w:w="220" w:type="dxa"/>
            <w:vAlign w:val="bottom"/>
          </w:tcPr>
          <w:p>
            <w:pPr>
              <w:spacing w:after="0"/>
              <w:rPr>
                <w:sz w:val="12"/>
                <w:szCs w:val="12"/>
                <w:color w:val="auto"/>
              </w:rPr>
            </w:pPr>
          </w:p>
        </w:tc>
        <w:tc>
          <w:tcPr>
            <w:tcW w:w="98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1"/>
              </w:rPr>
              <w:t>All Other</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gridSpan w:val="2"/>
          </w:tcPr>
          <w:p>
            <w:pPr>
              <w:spacing w:after="0"/>
              <w:rPr>
                <w:sz w:val="20"/>
                <w:szCs w:val="20"/>
                <w:color w:val="auto"/>
              </w:rPr>
            </w:pPr>
            <w:r>
              <w:rPr>
                <w:rFonts w:ascii="Arial" w:cs="Arial" w:eastAsia="Arial" w:hAnsi="Arial"/>
                <w:sz w:val="14"/>
                <w:szCs w:val="14"/>
                <w:color w:val="auto"/>
              </w:rPr>
              <w:t>Named Officers and Principal Positions</w:t>
            </w:r>
          </w:p>
        </w:tc>
        <w:tc>
          <w:tcPr>
            <w:tcW w:w="540" w:type="dxa"/>
            <w:vAlign w:val="bottom"/>
          </w:tcPr>
          <w:p>
            <w:pPr>
              <w:ind w:left="160"/>
              <w:spacing w:after="0"/>
              <w:rPr>
                <w:sz w:val="20"/>
                <w:szCs w:val="20"/>
                <w:color w:val="auto"/>
              </w:rPr>
            </w:pPr>
            <w:r>
              <w:rPr>
                <w:rFonts w:ascii="Arial" w:cs="Arial" w:eastAsia="Arial" w:hAnsi="Arial"/>
                <w:sz w:val="14"/>
                <w:szCs w:val="14"/>
                <w:color w:val="auto"/>
              </w:rPr>
              <w:t>Year</w:t>
            </w:r>
          </w:p>
        </w:tc>
        <w:tc>
          <w:tcPr>
            <w:tcW w:w="840" w:type="dxa"/>
            <w:vAlign w:val="bottom"/>
            <w:gridSpan w:val="2"/>
          </w:tcPr>
          <w:p>
            <w:pPr>
              <w:jc w:val="right"/>
              <w:ind w:right="92"/>
              <w:spacing w:after="0"/>
              <w:rPr>
                <w:sz w:val="20"/>
                <w:szCs w:val="20"/>
                <w:color w:val="auto"/>
              </w:rPr>
            </w:pPr>
            <w:r>
              <w:rPr>
                <w:rFonts w:ascii="Arial" w:cs="Arial" w:eastAsia="Arial" w:hAnsi="Arial"/>
                <w:sz w:val="14"/>
                <w:szCs w:val="14"/>
                <w:color w:val="auto"/>
              </w:rPr>
              <w:t>Salary ($)</w:t>
            </w:r>
          </w:p>
        </w:tc>
        <w:tc>
          <w:tcPr>
            <w:tcW w:w="840" w:type="dxa"/>
            <w:vAlign w:val="bottom"/>
            <w:gridSpan w:val="2"/>
          </w:tcPr>
          <w:p>
            <w:pPr>
              <w:jc w:val="right"/>
              <w:ind w:right="92"/>
              <w:spacing w:after="0"/>
              <w:rPr>
                <w:sz w:val="20"/>
                <w:szCs w:val="20"/>
                <w:color w:val="auto"/>
              </w:rPr>
            </w:pPr>
            <w:r>
              <w:rPr>
                <w:rFonts w:ascii="Arial" w:cs="Arial" w:eastAsia="Arial" w:hAnsi="Arial"/>
                <w:sz w:val="14"/>
                <w:szCs w:val="14"/>
                <w:color w:val="auto"/>
              </w:rPr>
              <w:t>Bonus ($)</w:t>
            </w:r>
          </w:p>
        </w:tc>
        <w:tc>
          <w:tcPr>
            <w:tcW w:w="3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Awards ($)</w:t>
            </w:r>
          </w:p>
        </w:tc>
        <w:tc>
          <w:tcPr>
            <w:tcW w:w="18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color w:val="auto"/>
                <w:w w:val="93"/>
              </w:rPr>
              <w:t>($)</w:t>
            </w: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w w:val="95"/>
              </w:rPr>
              <w:t>Compensation ($)</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89"/>
              </w:rPr>
              <w:t>Earnings ($)</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w w:val="97"/>
              </w:rPr>
              <w:t>Compensation ($)</w:t>
            </w:r>
          </w:p>
        </w:tc>
        <w:tc>
          <w:tcPr>
            <w:tcW w:w="4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Total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72"/>
              <w:spacing w:after="0" w:line="142" w:lineRule="exact"/>
              <w:rPr>
                <w:sz w:val="20"/>
                <w:szCs w:val="20"/>
                <w:color w:val="auto"/>
              </w:rPr>
            </w:pPr>
            <w:r>
              <w:rPr>
                <w:rFonts w:ascii="Arial" w:cs="Arial" w:eastAsia="Arial" w:hAnsi="Arial"/>
                <w:sz w:val="14"/>
                <w:szCs w:val="14"/>
                <w:color w:val="auto"/>
                <w:w w:val="88"/>
              </w:rPr>
              <w:t>Total Other</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Neil Austrian (5)</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2011</w:t>
            </w:r>
          </w:p>
        </w:tc>
        <w:tc>
          <w:tcPr>
            <w:tcW w:w="8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$1,646,154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6"/>
              </w:rPr>
              <w:t>$4,284,000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815,015</w:t>
            </w:r>
          </w:p>
        </w:tc>
        <w:tc>
          <w:tcPr>
            <w:tcW w:w="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71,766</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$6,816,935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2010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0"/>
              </w:rPr>
              <w:t>415,385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984,400</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$1,399,785</w:t>
            </w:r>
          </w:p>
        </w:tc>
        <w:tc>
          <w:tcPr>
            <w:tcW w:w="0" w:type="dxa"/>
            <w:vAlign w:val="bottom"/>
          </w:tcPr>
          <w:p>
            <w:pPr>
              <w:spacing w:after="0"/>
              <w:rPr>
                <w:sz w:val="1"/>
                <w:szCs w:val="1"/>
                <w:color w:val="auto"/>
              </w:rPr>
            </w:pPr>
          </w:p>
        </w:tc>
      </w:tr>
      <w:tr>
        <w:trPr>
          <w:trHeight w:val="246"/>
        </w:trPr>
        <w:tc>
          <w:tcPr>
            <w:tcW w:w="2620" w:type="dxa"/>
            <w:vAlign w:val="bottom"/>
            <w:gridSpan w:val="2"/>
          </w:tcPr>
          <w:p>
            <w:pPr>
              <w:spacing w:after="0"/>
              <w:rPr>
                <w:sz w:val="20"/>
                <w:szCs w:val="20"/>
                <w:color w:val="auto"/>
              </w:rPr>
            </w:pPr>
            <w:r>
              <w:rPr>
                <w:rFonts w:ascii="Arial" w:cs="Arial" w:eastAsia="Arial" w:hAnsi="Arial"/>
                <w:sz w:val="14"/>
                <w:szCs w:val="14"/>
                <w:color w:val="auto"/>
              </w:rPr>
              <w:t>Michael Newman</w:t>
            </w:r>
          </w:p>
        </w:tc>
        <w:tc>
          <w:tcPr>
            <w:tcW w:w="540" w:type="dxa"/>
            <w:vAlign w:val="bottom"/>
          </w:tcPr>
          <w:p>
            <w:pPr>
              <w:ind w:left="180"/>
              <w:spacing w:after="0"/>
              <w:rPr>
                <w:sz w:val="20"/>
                <w:szCs w:val="20"/>
                <w:color w:val="auto"/>
              </w:rPr>
            </w:pPr>
            <w:r>
              <w:rPr>
                <w:rFonts w:ascii="Arial" w:cs="Arial" w:eastAsia="Arial" w:hAnsi="Arial"/>
                <w:sz w:val="14"/>
                <w:szCs w:val="14"/>
                <w:color w:val="auto"/>
              </w:rPr>
              <w:t>2011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637,019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w w:val="90"/>
              </w:rPr>
              <w:t>937,500</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(6)</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355,832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294,840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410,877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81,134</w:t>
            </w:r>
          </w:p>
        </w:tc>
        <w:tc>
          <w:tcPr>
            <w:tcW w:w="4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$2,717,202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540" w:type="dxa"/>
            <w:vAlign w:val="bottom"/>
          </w:tcPr>
          <w:p>
            <w:pPr>
              <w:ind w:left="180"/>
              <w:spacing w:after="0" w:line="149" w:lineRule="exact"/>
              <w:rPr>
                <w:sz w:val="20"/>
                <w:szCs w:val="20"/>
                <w:color w:val="auto"/>
              </w:rPr>
            </w:pPr>
            <w:r>
              <w:rPr>
                <w:rFonts w:ascii="Arial" w:cs="Arial" w:eastAsia="Arial" w:hAnsi="Arial"/>
                <w:sz w:val="14"/>
                <w:szCs w:val="14"/>
                <w:color w:val="auto"/>
              </w:rPr>
              <w:t>2010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0"/>
              </w:rPr>
              <w:t>625,000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0"/>
              </w:rPr>
              <w:t>468,750</w:t>
            </w:r>
          </w:p>
        </w:tc>
        <w:tc>
          <w:tcPr>
            <w:tcW w:w="360" w:type="dxa"/>
            <w:vAlign w:val="bottom"/>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3"/>
              </w:rPr>
              <w:t>1,580,200</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40,924</w:t>
            </w: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$2,714,874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auto"/>
              </w:rPr>
              <w:t>2009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625,000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200,400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437,500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164,875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$1,427,775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Peters</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2011</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0"/>
              </w:rPr>
              <w:t>637,019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355,832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294,840</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410,877</w:t>
            </w:r>
          </w:p>
        </w:tc>
        <w:tc>
          <w:tcPr>
            <w:tcW w:w="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101,769</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$1,800,337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North America</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2010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0"/>
              </w:rPr>
              <w:t>568,077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1,802,447</w:t>
            </w:r>
          </w:p>
        </w:tc>
        <w:tc>
          <w:tcPr>
            <w:tcW w:w="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247,380</w:t>
            </w:r>
          </w:p>
        </w:tc>
        <w:tc>
          <w:tcPr>
            <w:tcW w:w="2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55,120</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$2,673,024</w:t>
            </w:r>
          </w:p>
        </w:tc>
        <w:tc>
          <w:tcPr>
            <w:tcW w:w="0" w:type="dxa"/>
            <w:vAlign w:val="bottom"/>
          </w:tcPr>
          <w:p>
            <w:pPr>
              <w:spacing w:after="0"/>
              <w:rPr>
                <w:sz w:val="1"/>
                <w:szCs w:val="1"/>
                <w:color w:val="auto"/>
              </w:rPr>
            </w:pPr>
          </w:p>
        </w:tc>
      </w:tr>
      <w:tr>
        <w:trPr>
          <w:trHeight w:val="246"/>
        </w:trPr>
        <w:tc>
          <w:tcPr>
            <w:tcW w:w="2620" w:type="dxa"/>
            <w:vAlign w:val="bottom"/>
            <w:gridSpan w:val="2"/>
          </w:tcPr>
          <w:p>
            <w:pPr>
              <w:spacing w:after="0"/>
              <w:rPr>
                <w:sz w:val="20"/>
                <w:szCs w:val="20"/>
                <w:color w:val="auto"/>
              </w:rPr>
            </w:pPr>
            <w:r>
              <w:rPr>
                <w:rFonts w:ascii="Arial" w:cs="Arial" w:eastAsia="Arial" w:hAnsi="Arial"/>
                <w:sz w:val="14"/>
                <w:szCs w:val="14"/>
                <w:color w:val="auto"/>
              </w:rPr>
              <w:t>Steve Schmidt</w:t>
            </w:r>
          </w:p>
        </w:tc>
        <w:tc>
          <w:tcPr>
            <w:tcW w:w="540" w:type="dxa"/>
            <w:vAlign w:val="bottom"/>
          </w:tcPr>
          <w:p>
            <w:pPr>
              <w:ind w:left="180"/>
              <w:spacing w:after="0"/>
              <w:rPr>
                <w:sz w:val="20"/>
                <w:szCs w:val="20"/>
                <w:color w:val="auto"/>
              </w:rPr>
            </w:pPr>
            <w:r>
              <w:rPr>
                <w:rFonts w:ascii="Arial" w:cs="Arial" w:eastAsia="Arial" w:hAnsi="Arial"/>
                <w:sz w:val="14"/>
                <w:szCs w:val="14"/>
                <w:color w:val="auto"/>
              </w:rPr>
              <w:t>2011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637,019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355,832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294,840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410,877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106,097</w:t>
            </w:r>
          </w:p>
        </w:tc>
        <w:tc>
          <w:tcPr>
            <w:tcW w:w="4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$1,804,665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President, International</w:t>
            </w:r>
          </w:p>
        </w:tc>
        <w:tc>
          <w:tcPr>
            <w:tcW w:w="540" w:type="dxa"/>
            <w:vAlign w:val="bottom"/>
          </w:tcPr>
          <w:p>
            <w:pPr>
              <w:ind w:left="180"/>
              <w:spacing w:after="0" w:line="149" w:lineRule="exact"/>
              <w:rPr>
                <w:sz w:val="20"/>
                <w:szCs w:val="20"/>
                <w:color w:val="auto"/>
              </w:rPr>
            </w:pPr>
            <w:r>
              <w:rPr>
                <w:rFonts w:ascii="Arial" w:cs="Arial" w:eastAsia="Arial" w:hAnsi="Arial"/>
                <w:sz w:val="14"/>
                <w:szCs w:val="14"/>
                <w:color w:val="auto"/>
              </w:rPr>
              <w:t>2010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0"/>
              </w:rPr>
              <w:t>625,000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3"/>
              </w:rPr>
              <w:t>1,580,200</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276,563</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53,957</w:t>
            </w: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$2,535,720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auto"/>
              </w:rPr>
              <w:t>2009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625,000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606,200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468,750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36,944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$1,736,894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Elisa D. Garcia</w:t>
            </w:r>
          </w:p>
        </w:tc>
        <w:tc>
          <w:tcPr>
            <w:tcW w:w="54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2011</w:t>
            </w:r>
          </w:p>
        </w:tc>
        <w:tc>
          <w:tcPr>
            <w:tcW w:w="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w w:val="90"/>
              </w:rPr>
              <w:t>448,462</w:t>
            </w:r>
          </w:p>
        </w:tc>
        <w:tc>
          <w:tcPr>
            <w:tcW w:w="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w w:val="90"/>
              </w:rPr>
              <w:t>500,000</w:t>
            </w:r>
          </w:p>
        </w:tc>
        <w:tc>
          <w:tcPr>
            <w:tcW w:w="3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w w:val="94"/>
              </w:rPr>
              <w:t>203,333</w:t>
            </w: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168,480</w:t>
            </w:r>
          </w:p>
        </w:tc>
        <w:tc>
          <w:tcPr>
            <w:tcW w:w="2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269,974</w:t>
            </w:r>
          </w:p>
        </w:tc>
        <w:tc>
          <w:tcPr>
            <w:tcW w:w="2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115,157</w:t>
            </w: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$1,705,406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88"/>
              </w:rPr>
              <w:t>Executive Vice President, General Counsel</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620" w:type="dxa"/>
            <w:vAlign w:val="bottom"/>
            <w:gridSpan w:val="2"/>
          </w:tcPr>
          <w:p>
            <w:pPr>
              <w:spacing w:after="0"/>
              <w:rPr>
                <w:sz w:val="20"/>
                <w:szCs w:val="20"/>
                <w:color w:val="auto"/>
              </w:rPr>
            </w:pPr>
            <w:r>
              <w:rPr>
                <w:rFonts w:ascii="Arial" w:cs="Arial" w:eastAsia="Arial" w:hAnsi="Arial"/>
                <w:sz w:val="14"/>
                <w:szCs w:val="14"/>
                <w:color w:val="auto"/>
              </w:rPr>
              <w:t>Charles Brown</w:t>
            </w:r>
          </w:p>
        </w:tc>
        <w:tc>
          <w:tcPr>
            <w:tcW w:w="540" w:type="dxa"/>
            <w:vAlign w:val="bottom"/>
          </w:tcPr>
          <w:p>
            <w:pPr>
              <w:ind w:left="180"/>
              <w:spacing w:after="0"/>
              <w:rPr>
                <w:sz w:val="20"/>
                <w:szCs w:val="20"/>
                <w:color w:val="auto"/>
              </w:rPr>
            </w:pPr>
            <w:r>
              <w:rPr>
                <w:rFonts w:ascii="Arial" w:cs="Arial" w:eastAsia="Arial" w:hAnsi="Arial"/>
                <w:sz w:val="14"/>
                <w:szCs w:val="14"/>
                <w:color w:val="auto"/>
              </w:rPr>
              <w:t>2011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471,154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355,832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294,840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3,471,351</w:t>
            </w:r>
          </w:p>
        </w:tc>
        <w:tc>
          <w:tcPr>
            <w:tcW w:w="440" w:type="dxa"/>
            <w:vAlign w:val="bottom"/>
          </w:tcPr>
          <w:p>
            <w:pPr>
              <w:ind w:left="120"/>
              <w:spacing w:after="0"/>
              <w:rPr>
                <w:sz w:val="20"/>
                <w:szCs w:val="20"/>
                <w:color w:val="auto"/>
              </w:rPr>
            </w:pPr>
            <w:r>
              <w:rPr>
                <w:rFonts w:ascii="Arial" w:cs="Arial" w:eastAsia="Arial" w:hAnsi="Arial"/>
                <w:sz w:val="14"/>
                <w:szCs w:val="14"/>
                <w:color w:val="auto"/>
              </w:rPr>
              <w:t>(9)</w:t>
            </w: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$4,593,177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Former President, International</w:t>
            </w:r>
          </w:p>
        </w:tc>
        <w:tc>
          <w:tcPr>
            <w:tcW w:w="540" w:type="dxa"/>
            <w:vAlign w:val="bottom"/>
          </w:tcPr>
          <w:p>
            <w:pPr>
              <w:ind w:left="180"/>
              <w:spacing w:after="0" w:line="149" w:lineRule="exact"/>
              <w:rPr>
                <w:sz w:val="20"/>
                <w:szCs w:val="20"/>
                <w:color w:val="auto"/>
              </w:rPr>
            </w:pPr>
            <w:r>
              <w:rPr>
                <w:rFonts w:ascii="Arial" w:cs="Arial" w:eastAsia="Arial" w:hAnsi="Arial"/>
                <w:sz w:val="14"/>
                <w:szCs w:val="14"/>
                <w:color w:val="auto"/>
              </w:rPr>
              <w:t>2010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0"/>
              </w:rPr>
              <w:t>625,000</w:t>
            </w: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w w:val="96"/>
              </w:rPr>
              <w:t>$1,000,000</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3"/>
              </w:rPr>
              <w:t>1,580,200</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276,563</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44,543</w:t>
            </w: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$3,526,306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auto"/>
              </w:rPr>
              <w:t>2009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w w:val="90"/>
              </w:rPr>
              <w:t>625,000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267,200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ind w:left="560"/>
              <w:spacing w:after="0"/>
              <w:rPr>
                <w:sz w:val="20"/>
                <w:szCs w:val="20"/>
                <w:color w:val="auto"/>
              </w:rPr>
            </w:pPr>
            <w:r>
              <w:rPr>
                <w:rFonts w:ascii="Arial" w:cs="Arial" w:eastAsia="Arial" w:hAnsi="Arial"/>
                <w:sz w:val="14"/>
                <w:szCs w:val="14"/>
                <w:color w:val="auto"/>
              </w:rPr>
              <w:t>—</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653,663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$1,545,863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Daisy Vanderlinde</w:t>
            </w:r>
          </w:p>
        </w:tc>
        <w:tc>
          <w:tcPr>
            <w:tcW w:w="54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2011</w:t>
            </w:r>
          </w:p>
        </w:tc>
        <w:tc>
          <w:tcPr>
            <w:tcW w:w="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w w:val="90"/>
              </w:rPr>
              <w:t>301,231</w:t>
            </w:r>
          </w:p>
        </w:tc>
        <w:tc>
          <w:tcPr>
            <w:tcW w:w="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w w:val="94"/>
              </w:rPr>
              <w:t>203,333</w:t>
            </w: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168,480</w:t>
            </w:r>
          </w:p>
        </w:tc>
        <w:tc>
          <w:tcPr>
            <w:tcW w:w="2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1,627,763</w:t>
            </w:r>
          </w:p>
        </w:tc>
        <w:tc>
          <w:tcPr>
            <w:tcW w:w="4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$2,300,807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Former Executive Vice President, Human</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Resources</w:t>
            </w: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3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Column (c) is used to record salary amounts that include cash compensation earned by each NEO during fiscal years 2011, 2010 and 2009 as well as any amounts earned in those years but contributed into the 401(k) Plan at the election of the NEO. Fiscal year 2011 included an additional 53rd week which is reflected in the salary amounts for the NEOs employed though that period.</w:t>
      </w:r>
    </w:p>
    <w:p>
      <w:pPr>
        <w:spacing w:after="0" w:line="76" w:lineRule="exact"/>
        <w:rPr>
          <w:rFonts w:ascii="Arial" w:cs="Arial" w:eastAsia="Arial" w:hAnsi="Arial"/>
          <w:sz w:val="22"/>
          <w:szCs w:val="22"/>
          <w:color w:val="auto"/>
          <w:vertAlign w:val="superscript"/>
        </w:rPr>
      </w:pPr>
    </w:p>
    <w:p>
      <w:pPr>
        <w:ind w:left="460" w:hanging="452"/>
        <w:spacing w:after="0" w:line="241" w:lineRule="auto"/>
        <w:tabs>
          <w:tab w:leader="none" w:pos="460" w:val="left"/>
        </w:tabs>
        <w:numPr>
          <w:ilvl w:val="0"/>
          <w:numId w:val="30"/>
        </w:numPr>
        <w:rPr>
          <w:rFonts w:ascii="Arial" w:cs="Arial" w:eastAsia="Arial" w:hAnsi="Arial"/>
          <w:sz w:val="21"/>
          <w:szCs w:val="21"/>
          <w:color w:val="auto"/>
          <w:vertAlign w:val="superscript"/>
        </w:rPr>
      </w:pPr>
      <w:r>
        <w:rPr>
          <w:rFonts w:ascii="Arial" w:cs="Arial" w:eastAsia="Arial" w:hAnsi="Arial"/>
          <w:sz w:val="17"/>
          <w:szCs w:val="17"/>
          <w:color w:val="auto"/>
        </w:rPr>
        <w:t>The dollar amounts in columns (e) and (f) reflect the aggregate grant date fair value of equity awards granted within the fiscal year in accordance with Financial Accounting Standards Board (“FASB”) Accounting Standards Codification (“ASC”) Topic 718 for stock-based compensation. These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amounts reflect the total grant date fair value for these awards, and do not correspond to the actual value that will be recognized by each of the NEOs when received. Assumptions used in the calculation of these award amounts are included in Note A to the consolidated financial statements included in our Annual Report on Form 10-K for the year ended December 31, 2011.</w:t>
      </w:r>
    </w:p>
    <w:p>
      <w:pPr>
        <w:spacing w:after="0" w:line="59" w:lineRule="exact"/>
        <w:rPr>
          <w:sz w:val="20"/>
          <w:szCs w:val="20"/>
          <w:color w:val="auto"/>
        </w:rPr>
      </w:pPr>
    </w:p>
    <w:p>
      <w:pPr>
        <w:jc w:val="both"/>
        <w:ind w:left="460" w:hanging="452"/>
        <w:spacing w:after="0" w:line="235"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 amounts in column (g) reflect cash awards earned under the 2011 Bonus Plan, which is previously discussed in more detail in the Compensation Discussion and Analysis (“CD&amp;A”) under the “Annual Cash Bonus” section. While such amounts were earned for fiscal year 2011 performance, they will not be paid to the NEOs until March 9, 2012. Fiscal year 2011 consisted of a 53-week period.</w:t>
      </w:r>
    </w:p>
    <w:p>
      <w:pPr>
        <w:spacing w:after="0" w:line="76" w:lineRule="exact"/>
        <w:rPr>
          <w:rFonts w:ascii="Arial" w:cs="Arial" w:eastAsia="Arial" w:hAnsi="Arial"/>
          <w:sz w:val="22"/>
          <w:szCs w:val="22"/>
          <w:color w:val="auto"/>
          <w:vertAlign w:val="superscript"/>
        </w:rPr>
      </w:pPr>
    </w:p>
    <w:p>
      <w:pPr>
        <w:jc w:val="both"/>
        <w:ind w:left="460" w:hanging="452"/>
        <w:spacing w:after="0" w:line="241"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 Other Compensation Table for Fiscal Year 2011 that follows reflects the types and dollar amounts of perquisites, other personal benefits, and severance arrangements provided to the NEOs during the fiscal year 2011. For purposes of computing the dollar amounts of the items listed in the following table, the actual out-of-pocket costs to the company of providing the perquisites, other personal benefits, and severance arrangements to the NEOs was used. Each perquisite, other personal benefit, and severance arrangement included in the Table that follows is described in more detail in the narratives immediately following the Table.</w:t>
      </w:r>
    </w:p>
    <w:p>
      <w:pPr>
        <w:spacing w:after="0" w:line="76" w:lineRule="exact"/>
        <w:rPr>
          <w:rFonts w:ascii="Arial" w:cs="Arial" w:eastAsia="Arial" w:hAnsi="Arial"/>
          <w:sz w:val="22"/>
          <w:szCs w:val="22"/>
          <w:color w:val="auto"/>
          <w:vertAlign w:val="superscript"/>
        </w:rPr>
      </w:pPr>
    </w:p>
    <w:p>
      <w:pPr>
        <w:jc w:val="both"/>
        <w:ind w:left="460" w:hanging="452"/>
        <w:spacing w:after="0" w:line="278" w:lineRule="auto"/>
        <w:tabs>
          <w:tab w:leader="none" w:pos="4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Effective May 23, 2011, Mr. Austrian was appointed as the company’s Chair and CEO. Set forth in this table is the compensation that Mr. Austrian has earned during fiscal year 2011 for his service as Interim Chair and CEO from December 26, 2010 through May 22, 2011, and as Chair and CEO from May 23, 2011 through December 31, 2011, pursuant to the terms of his letter agreements with the company, which are described under the “Summary of Executive Agreements and Potential Payments Upon Termination or Change of Control” section. In addition to the compensation described in the Summary Compensation Table and Grants of Plan-Based Award Tables, in 2011, Mr. Austrian also received stock awards for his service as a director of the company prior to his appointment as Chair and CEO, which is reflected in the “Director Compensation Table for Fiscal Year 2011.”</w:t>
      </w:r>
    </w:p>
    <w:p>
      <w:pPr>
        <w:spacing w:after="0" w:line="45"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31"/>
        </w:numPr>
        <w:rPr>
          <w:rFonts w:ascii="Arial" w:cs="Arial" w:eastAsia="Arial" w:hAnsi="Arial"/>
          <w:sz w:val="21"/>
          <w:szCs w:val="21"/>
          <w:color w:val="auto"/>
          <w:vertAlign w:val="superscript"/>
        </w:rPr>
      </w:pPr>
      <w:r>
        <w:rPr>
          <w:rFonts w:ascii="Arial" w:cs="Arial" w:eastAsia="Arial" w:hAnsi="Arial"/>
          <w:sz w:val="17"/>
          <w:szCs w:val="17"/>
          <w:color w:val="auto"/>
        </w:rPr>
        <w:t>Pursuant to the terms of his Retention Agreement which is described under the “Summary of Executive Agreements and Potential Payments Upon Termination or Change of Control” section, Mr. Newman earned the first installment of his Retention Payment in March 2011.</w:t>
      </w:r>
    </w:p>
    <w:p>
      <w:pPr>
        <w:spacing w:after="0" w:line="74" w:lineRule="exact"/>
        <w:rPr>
          <w:rFonts w:ascii="Arial" w:cs="Arial" w:eastAsia="Arial" w:hAnsi="Arial"/>
          <w:sz w:val="21"/>
          <w:szCs w:val="21"/>
          <w:color w:val="auto"/>
          <w:vertAlign w:val="superscript"/>
        </w:rPr>
      </w:pPr>
    </w:p>
    <w:p>
      <w:pPr>
        <w:ind w:left="460" w:right="20" w:hanging="452"/>
        <w:spacing w:after="0" w:line="241" w:lineRule="auto"/>
        <w:tabs>
          <w:tab w:leader="none" w:pos="460" w:val="left"/>
        </w:tabs>
        <w:numPr>
          <w:ilvl w:val="0"/>
          <w:numId w:val="31"/>
        </w:numPr>
        <w:rPr>
          <w:rFonts w:ascii="Arial" w:cs="Arial" w:eastAsia="Arial" w:hAnsi="Arial"/>
          <w:sz w:val="21"/>
          <w:szCs w:val="21"/>
          <w:color w:val="auto"/>
          <w:vertAlign w:val="superscript"/>
        </w:rPr>
      </w:pPr>
      <w:r>
        <w:rPr>
          <w:rFonts w:ascii="Arial" w:cs="Arial" w:eastAsia="Arial" w:hAnsi="Arial"/>
          <w:sz w:val="17"/>
          <w:szCs w:val="17"/>
          <w:color w:val="auto"/>
        </w:rPr>
        <w:t>Pursuant to the terms of her Retention Agreement which is described under the “Summary of Executive Agreements and Potential Payments Upon Termination or Change of Control” section, Ms. Garcia earned the first installment of her Retention Payment in November 2011.</w:t>
      </w:r>
    </w:p>
    <w:p>
      <w:pPr>
        <w:spacing w:after="0" w:line="74" w:lineRule="exact"/>
        <w:rPr>
          <w:rFonts w:ascii="Arial" w:cs="Arial" w:eastAsia="Arial" w:hAnsi="Arial"/>
          <w:sz w:val="21"/>
          <w:szCs w:val="21"/>
          <w:color w:val="auto"/>
          <w:vertAlign w:val="superscript"/>
        </w:rPr>
      </w:pPr>
    </w:p>
    <w:p>
      <w:pPr>
        <w:jc w:val="both"/>
        <w:ind w:left="460" w:hanging="452"/>
        <w:spacing w:after="0" w:line="239"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In 2010, Mr. Brown accrued a $1,000,000 retention bonus pursuant to his amended Executive Employment Agreement, which is described under the “Summary of Executive Agreements and Potential Payments Upon Termination or Change of Control” section. This retention bonus was accrued on September 14, 2010 to be payable in connection with Mr. Brown’s termination of employment. Mr. Brown was terminated in September 2011 and received a severance payment as reported under column (i), in addition to this retention bonus.</w:t>
      </w:r>
    </w:p>
    <w:p>
      <w:pPr>
        <w:spacing w:after="0" w:line="75" w:lineRule="exact"/>
        <w:rPr>
          <w:sz w:val="20"/>
          <w:szCs w:val="20"/>
          <w:color w:val="auto"/>
        </w:rPr>
      </w:pPr>
    </w:p>
    <w:p>
      <w:pPr>
        <w:jc w:val="both"/>
        <w:ind w:left="460" w:hanging="445"/>
        <w:spacing w:after="0" w:line="294" w:lineRule="auto"/>
        <w:tabs>
          <w:tab w:leader="none" w:pos="440" w:val="left"/>
        </w:tabs>
        <w:rPr>
          <w:sz w:val="20"/>
          <w:szCs w:val="20"/>
          <w:color w:val="auto"/>
        </w:rPr>
      </w:pPr>
      <w:r>
        <w:rPr>
          <w:rFonts w:ascii="Arial" w:cs="Arial" w:eastAsia="Arial" w:hAnsi="Arial"/>
          <w:sz w:val="11"/>
          <w:szCs w:val="11"/>
          <w:color w:val="auto"/>
        </w:rPr>
        <w:t>(9</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Mr. Brown was terminated by the company on September 26, 2011. In connection with Mr. Brown’s termination of employment, he became entitled to a severance payment pursuant to the terms of his previously negotiated Executive Employment Agreement, which is described under the “Summary of Executive Agreements and Potential Payments Upon Termination or Change of Control” section. In addition to the severance payment, Mr. Brown was paid a $1,000,000 retention bonus accrued in 2010, which is disclosed in Footnote 8 above. Mr. Brown’s severance payment will be paid to him in cash on March 26, 2012 and is disclosed on the “Other Compensation Table for Fiscal Year 2011” that follows.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41"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Ms. Vanderlinde terminated employment with the company on August 31, 2011. In connection with Ms. Vanderlinde’s termination of employment, she earned a severance payment pursuant to the terms of her Separation Agreement, which included amounts owed to her pursuant to her previously negotiated Employment Offer Letter Agreement, both of which are described under the “Summary of Executive Agreements and Potential Payments Upon Termination or Change of Control” section. Ms. Vanderlinde’s severance payment was paid to her in cash on September 7, 2011 and is disclosed on the “Other Compensation Table for Fiscal Year 2011” that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Compensation Table for Fiscal Year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 Column (i) Components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(a)</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(b)</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w w:val="93"/>
              </w:rPr>
              <w:t>(d)</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3"/>
              </w:rPr>
              <w:t>(e)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0"/>
              </w:rPr>
              <w:t>(f)</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3"/>
              </w:rPr>
              <w:t>(g)</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(h)</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6"/>
              </w:rPr>
              <w:t>(i)</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(j)</w:t>
            </w:r>
          </w:p>
        </w:tc>
      </w:tr>
      <w:tr>
        <w:trPr>
          <w:trHeight w:val="131"/>
        </w:trPr>
        <w:tc>
          <w:tcPr>
            <w:tcW w:w="3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ind w:right="132"/>
              <w:spacing w:after="0" w:line="131" w:lineRule="exact"/>
              <w:rPr>
                <w:sz w:val="20"/>
                <w:szCs w:val="20"/>
                <w:color w:val="auto"/>
              </w:rPr>
            </w:pPr>
            <w:r>
              <w:rPr>
                <w:rFonts w:ascii="Arial" w:cs="Arial" w:eastAsia="Arial" w:hAnsi="Arial"/>
                <w:sz w:val="14"/>
                <w:szCs w:val="14"/>
                <w:color w:val="auto"/>
                <w:w w:val="93"/>
              </w:rPr>
              <w:t>(5)</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93"/>
              </w:rPr>
              <w:t>(1)</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(2)</w:t>
            </w:r>
          </w:p>
        </w:tc>
        <w:tc>
          <w:tcPr>
            <w:tcW w:w="180" w:type="dxa"/>
            <w:vAlign w:val="bottom"/>
          </w:tcPr>
          <w:p>
            <w:pPr>
              <w:spacing w:after="0"/>
              <w:rPr>
                <w:sz w:val="12"/>
                <w:szCs w:val="12"/>
                <w:color w:val="auto"/>
              </w:rPr>
            </w:pPr>
          </w:p>
        </w:tc>
        <w:tc>
          <w:tcPr>
            <w:tcW w:w="50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3"/>
              </w:rPr>
              <w:t>(3)</w:t>
            </w:r>
          </w:p>
        </w:tc>
        <w:tc>
          <w:tcPr>
            <w:tcW w:w="200" w:type="dxa"/>
            <w:vAlign w:val="bottom"/>
          </w:tcPr>
          <w:p>
            <w:pPr>
              <w:spacing w:after="0"/>
              <w:rPr>
                <w:sz w:val="12"/>
                <w:szCs w:val="12"/>
                <w:color w:val="auto"/>
              </w:rPr>
            </w:pPr>
          </w:p>
        </w:tc>
        <w:tc>
          <w:tcPr>
            <w:tcW w:w="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Personal</w:t>
            </w:r>
          </w:p>
        </w:tc>
        <w:tc>
          <w:tcPr>
            <w:tcW w:w="200" w:type="dxa"/>
            <w:vAlign w:val="bottom"/>
          </w:tcPr>
          <w:p>
            <w:pPr>
              <w:spacing w:after="0"/>
              <w:rPr>
                <w:sz w:val="12"/>
                <w:szCs w:val="12"/>
                <w:color w:val="auto"/>
              </w:rPr>
            </w:pPr>
          </w:p>
        </w:tc>
        <w:tc>
          <w:tcPr>
            <w:tcW w:w="80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3"/>
              </w:rPr>
              <w:t>(6)</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3"/>
              </w:rPr>
              <w:t>(9)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8"/>
              </w:rPr>
              <w:t>Car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3"/>
              </w:rPr>
              <w:t>Exec</w:t>
            </w:r>
          </w:p>
        </w:tc>
        <w:tc>
          <w:tcPr>
            <w:tcW w:w="180" w:type="dxa"/>
            <w:vAlign w:val="bottom"/>
          </w:tcPr>
          <w:p>
            <w:pPr>
              <w:spacing w:after="0"/>
              <w:rPr>
                <w:sz w:val="12"/>
                <w:szCs w:val="12"/>
                <w:color w:val="auto"/>
              </w:rPr>
            </w:pPr>
          </w:p>
        </w:tc>
        <w:tc>
          <w:tcPr>
            <w:tcW w:w="50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89"/>
              </w:rPr>
              <w:t>Exec</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401k</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Aircraft</w:t>
            </w:r>
          </w:p>
        </w:tc>
        <w:tc>
          <w:tcPr>
            <w:tcW w:w="200" w:type="dxa"/>
            <w:vAlign w:val="bottom"/>
          </w:tcPr>
          <w:p>
            <w:pPr>
              <w:spacing w:after="0"/>
              <w:rPr>
                <w:sz w:val="12"/>
                <w:szCs w:val="12"/>
                <w:color w:val="auto"/>
              </w:rPr>
            </w:pPr>
          </w:p>
        </w:tc>
        <w:tc>
          <w:tcPr>
            <w:tcW w:w="80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7"/>
              </w:rPr>
              <w:t>Charitable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Company</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Officers</w:t>
            </w:r>
          </w:p>
        </w:tc>
        <w:tc>
          <w:tcPr>
            <w:tcW w:w="176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color w:val="auto"/>
              </w:rPr>
              <w:t>Allowance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Med</w:t>
            </w: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Welfare</w:t>
            </w:r>
          </w:p>
        </w:tc>
        <w:tc>
          <w:tcPr>
            <w:tcW w:w="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Match</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78"/>
              </w:rPr>
              <w:t>Usage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Contributions</w:t>
            </w: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Severance</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9"/>
              </w:rPr>
              <w:t>Event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Total</w:t>
            </w:r>
          </w:p>
        </w:tc>
      </w:tr>
      <w:tr>
        <w:trPr>
          <w:trHeight w:val="142"/>
        </w:trPr>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Neil Austrian</w:t>
            </w:r>
          </w:p>
        </w:tc>
        <w:tc>
          <w:tcPr>
            <w:tcW w:w="1180" w:type="dxa"/>
            <w:vAlign w:val="bottom"/>
            <w:shd w:val="clear" w:color="auto" w:fill="CCEEFF"/>
          </w:tcPr>
          <w:p>
            <w:pPr>
              <w:ind w:left="10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$26,561</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83"/>
              </w:rPr>
              <w:t>10,340</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88"/>
              </w:rPr>
              <w:t>18,879</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5,986</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71,766</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Michael Newman</w:t>
            </w:r>
          </w:p>
        </w:tc>
        <w:tc>
          <w:tcPr>
            <w:tcW w:w="118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15,900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$51,457</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8,877</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81,134</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Peters</w:t>
            </w:r>
          </w:p>
        </w:tc>
        <w:tc>
          <w:tcPr>
            <w:tcW w:w="11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15,900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$60,393</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8,603</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7"/>
              </w:rPr>
              <w:t>11,973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101,769</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Steve Schmidt</w:t>
            </w:r>
          </w:p>
        </w:tc>
        <w:tc>
          <w:tcPr>
            <w:tcW w:w="118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15,900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$49,710</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11,114</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11,973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106,097</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Elisa D. Garcia</w:t>
            </w:r>
          </w:p>
        </w:tc>
        <w:tc>
          <w:tcPr>
            <w:tcW w:w="11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15,900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$61,144</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8,213</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25,000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115,157</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Charles Brown</w:t>
            </w:r>
          </w:p>
        </w:tc>
        <w:tc>
          <w:tcPr>
            <w:tcW w:w="118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11,760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$46,166</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7,316</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3"/>
              </w:rPr>
              <w:t>3,401,209</w:t>
            </w: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3"/>
              </w:rPr>
              <w:t>3,471,351</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Daisy Vanderlinde</w:t>
            </w:r>
          </w:p>
        </w:tc>
        <w:tc>
          <w:tcPr>
            <w:tcW w:w="118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10,680</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$33,140</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6,747</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4,900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3"/>
              </w:rPr>
              <w:t>1,572,296</w:t>
            </w:r>
          </w:p>
        </w:tc>
        <w:tc>
          <w:tcPr>
            <w:tcW w:w="4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1,627,763</w:t>
            </w:r>
          </w:p>
        </w:tc>
      </w:tr>
    </w:tbl>
    <w:p>
      <w:pPr>
        <w:spacing w:after="0" w:line="12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21"/>
          <w:szCs w:val="21"/>
          <w:color w:val="auto"/>
          <w:vertAlign w:val="superscript"/>
        </w:rPr>
      </w:pPr>
      <w:r>
        <w:rPr>
          <w:rFonts w:ascii="Arial" w:cs="Arial" w:eastAsia="Arial" w:hAnsi="Arial"/>
          <w:sz w:val="17"/>
          <w:szCs w:val="17"/>
          <w:color w:val="auto"/>
        </w:rPr>
        <w:t>The amounts in column (b) reflect the payments made to each NEO during fiscal year 2011 as part of the Executive Car Allowance Program.</w:t>
      </w:r>
    </w:p>
    <w:p>
      <w:pPr>
        <w:spacing w:after="0" w:line="74" w:lineRule="exact"/>
        <w:rPr>
          <w:rFonts w:ascii="Arial" w:cs="Arial" w:eastAsia="Arial" w:hAnsi="Arial"/>
          <w:sz w:val="21"/>
          <w:szCs w:val="21"/>
          <w:color w:val="auto"/>
          <w:vertAlign w:val="superscript"/>
        </w:rPr>
      </w:pPr>
    </w:p>
    <w:p>
      <w:pPr>
        <w:jc w:val="both"/>
        <w:ind w:left="460" w:hanging="452"/>
        <w:spacing w:after="0" w:line="241"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The amounts in column (c) reflect the cost to the company for insurance premiums (medical, dental and vision) and health physicals in connection with the NEOs’ participation in the Executive Benefits Program. As discussed further in the CD&amp;A under the “Summary of Key 2011 Compensation Decisions,” the Compensation Committee approved terminating coverage of all executives, including the NEOs, under the Executive Medical Plan beginning in 2012. As of January 1, 2012, the executives are now eligible to participate in the medical, dental, vision and pharmacy benefit programs available to the company’s broad-based full-time employees.</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The amounts in column (d) reflect the cost to the company for insurance premiums associated with welfare benefits (LTD, STD, basic life insurance and AD&amp;D) in connection with the NEOs’ participation in the Executive Benefits Program. Amounts also include imputed income for premiums paid on life insurance in excess of $50,000.</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The amounts in column (e) reflect the company cost of matching contributions under our 401(k) Plan of up to 2% of eligible compensation for the 2011 fiscal year subject to the IRS annual compensation limits. As discussed in the “Retirement Plans” section of the CD&amp;A, the company restarted a matching contribution to the 401(k) Plan for all participants beginning January 2011.</w:t>
      </w:r>
    </w:p>
    <w:p>
      <w:pPr>
        <w:spacing w:after="0" w:line="76" w:lineRule="exact"/>
        <w:rPr>
          <w:rFonts w:ascii="Arial" w:cs="Arial" w:eastAsia="Arial" w:hAnsi="Arial"/>
          <w:sz w:val="22"/>
          <w:szCs w:val="22"/>
          <w:color w:val="auto"/>
          <w:vertAlign w:val="superscript"/>
        </w:rPr>
      </w:pPr>
    </w:p>
    <w:p>
      <w:pPr>
        <w:jc w:val="both"/>
        <w:ind w:left="460" w:hanging="452"/>
        <w:spacing w:after="0" w:line="298" w:lineRule="auto"/>
        <w:tabs>
          <w:tab w:leader="none" w:pos="46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The amount in column (f) reflects the incremental cost of personal use of company leased aircraft. The amount includes the actual cost of fuel and additives, trip-related crew hotels and meals, in-flight food and beverages, landing and ground handling fees, hangar or aircraft parking costs, certain other smaller variable costs for each personal trip leg plus an allocation of maintenance costs based on the per mile cost to maintain the planes multiplied by the number of personal miles flown. Fixed costs that would be incurred in any event to operate company aircraft (e.g., aircraft and hangar lease costs, depreciation, and flight crew salaries) are not included. Mr. Peters’ personal use of company leased aircraft resulted in no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-2588260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The amount in column (g) represents the cost of company matching contributions on behalf of the NEOs to eligible charitable organizations under the 2011 Executive Matching Gifts Program.</w:t>
      </w:r>
    </w:p>
    <w:p>
      <w:pPr>
        <w:spacing w:after="0" w:line="76" w:lineRule="exact"/>
        <w:rPr>
          <w:rFonts w:ascii="Arial" w:cs="Arial" w:eastAsia="Arial" w:hAnsi="Arial"/>
          <w:sz w:val="22"/>
          <w:szCs w:val="22"/>
          <w:color w:val="auto"/>
          <w:vertAlign w:val="superscript"/>
        </w:rPr>
      </w:pPr>
    </w:p>
    <w:p>
      <w:pPr>
        <w:jc w:val="both"/>
        <w:ind w:left="460" w:hanging="452"/>
        <w:spacing w:after="0" w:line="241"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Reflects the severance payment payable to Mr. Brown in connection with his termination in September 2011 and pursuant to the terms of his previously negotiated Executive Employment Agreement. In connection with his termination, in addition to the $1 million retention award as described in footnotes 9 and 10 to the Summary Compensation Table, Mr. Brown became entitled to receive: 1) cash severance of $937,500; 2) $2,000,000 retention bonus, 3) 2011 pro-rated bonus at target; and 4) 18 times COBRA and other welfare benefit plan monthly premiums. Payment of all amounts will be paid to him in cash on March 26, 2012.</w:t>
      </w:r>
    </w:p>
    <w:p>
      <w:pPr>
        <w:spacing w:after="0" w:line="76" w:lineRule="exact"/>
        <w:rPr>
          <w:rFonts w:ascii="Arial" w:cs="Arial" w:eastAsia="Arial" w:hAnsi="Arial"/>
          <w:sz w:val="22"/>
          <w:szCs w:val="22"/>
          <w:color w:val="auto"/>
          <w:vertAlign w:val="superscript"/>
        </w:rPr>
      </w:pPr>
    </w:p>
    <w:p>
      <w:pPr>
        <w:jc w:val="both"/>
        <w:ind w:left="460" w:hanging="452"/>
        <w:spacing w:after="0" w:line="239"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 August 2011, Ms. Vanderlinde, Executive Vice President of Human Resources, was terminated, and pursuant to her Separation Agreement, received a severance payment of $1,572,296 on September 7, 2011. In connection with her termination, Ms. Vanderlinde became entitled to receive: 1) $880,000 continued base salary for 24 months; 2) $616,000 for two times 2011 bonus at target; and 3) $76,296 for COBRA and other welfare benefit plan monthly premiums.</w:t>
      </w:r>
    </w:p>
    <w:p>
      <w:pPr>
        <w:spacing w:after="0" w:line="75" w:lineRule="exact"/>
        <w:rPr>
          <w:rFonts w:ascii="Arial" w:cs="Arial" w:eastAsia="Arial" w:hAnsi="Arial"/>
          <w:sz w:val="22"/>
          <w:szCs w:val="22"/>
          <w:color w:val="auto"/>
          <w:vertAlign w:val="superscript"/>
        </w:rPr>
      </w:pPr>
    </w:p>
    <w:p>
      <w:pPr>
        <w:ind w:left="460" w:right="2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Represents payments to Messrs. Austrian, Peters and Schmidt for personal expenses incurred while attending a company-sponsored event and the related gross-up payments for the event.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Grants of Plan-Based Awards in Fiscal Year 2011</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w:t>
            </w: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(b)</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(c-e)</w:t>
            </w: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(f-h)</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7"/>
              </w:rPr>
              <w:t>(k)</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6"/>
              </w:rPr>
              <w:t>(l)</w:t>
            </w:r>
          </w:p>
        </w:tc>
        <w:tc>
          <w:tcPr>
            <w:tcW w:w="0" w:type="dxa"/>
            <w:vAlign w:val="bottom"/>
          </w:tcPr>
          <w:p>
            <w:pPr>
              <w:spacing w:after="0"/>
              <w:rPr>
                <w:sz w:val="1"/>
                <w:szCs w:val="1"/>
                <w:color w:val="auto"/>
              </w:rPr>
            </w:pPr>
          </w:p>
        </w:tc>
      </w:tr>
      <w:tr>
        <w:trPr>
          <w:trHeight w:val="131"/>
        </w:trPr>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color w:val="auto"/>
                <w:w w:val="91"/>
              </w:rPr>
              <w:t>All Other</w:t>
            </w:r>
          </w:p>
        </w:tc>
        <w:tc>
          <w:tcPr>
            <w:tcW w:w="9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3"/>
              </w:rPr>
              <w:t>(4)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Option Awards: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Exercise or</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3"/>
              </w:rPr>
              <w:t>Base Price of</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3"/>
          </w:tcPr>
          <w:p>
            <w:pPr>
              <w:jc w:val="center"/>
              <w:ind w:right="92"/>
              <w:spacing w:after="0" w:line="149" w:lineRule="exact"/>
              <w:rPr>
                <w:sz w:val="20"/>
                <w:szCs w:val="20"/>
                <w:color w:val="auto"/>
              </w:rPr>
            </w:pPr>
            <w:r>
              <w:rPr>
                <w:rFonts w:ascii="Arial" w:cs="Arial" w:eastAsia="Arial" w:hAnsi="Arial"/>
                <w:sz w:val="14"/>
                <w:szCs w:val="14"/>
                <w:color w:val="auto"/>
                <w:w w:val="87"/>
              </w:rPr>
              <w:t>Estimated Future Payouts Under Non-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All Other Stock</w:t>
            </w: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160" w:type="dxa"/>
            <w:vAlign w:val="bottom"/>
          </w:tcPr>
          <w:p>
            <w:pPr>
              <w:spacing w:after="0"/>
              <w:rPr>
                <w:sz w:val="12"/>
                <w:szCs w:val="12"/>
                <w:color w:val="auto"/>
              </w:rPr>
            </w:pPr>
          </w:p>
        </w:tc>
        <w:tc>
          <w:tcPr>
            <w:tcW w:w="6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3"/>
              </w:rPr>
              <w:t>(5)</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Named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Equity</w:t>
            </w:r>
          </w:p>
        </w:tc>
        <w:tc>
          <w:tcPr>
            <w:tcW w:w="900" w:type="dxa"/>
            <w:vAlign w:val="bottom"/>
          </w:tcPr>
          <w:p>
            <w:pPr>
              <w:spacing w:after="0"/>
              <w:rPr>
                <w:sz w:val="12"/>
                <w:szCs w:val="12"/>
                <w:color w:val="auto"/>
              </w:rPr>
            </w:pPr>
          </w:p>
        </w:tc>
        <w:tc>
          <w:tcPr>
            <w:tcW w:w="262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87"/>
              </w:rPr>
              <w:t>Estimated Future Payouts Under Equity</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Awards: Number of</w:t>
            </w: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Awards</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Grant Date</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Officers</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Grant Date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color w:val="auto"/>
                <w:w w:val="88"/>
              </w:rPr>
              <w:t>Incentive Plan Awards</w:t>
            </w:r>
          </w:p>
        </w:tc>
        <w:tc>
          <w:tcPr>
            <w:tcW w:w="1960" w:type="dxa"/>
            <w:vAlign w:val="bottom"/>
            <w:tcBorders>
              <w:bottom w:val="single" w:sz="8" w:color="auto"/>
            </w:tcBorders>
            <w:gridSpan w:val="4"/>
          </w:tcPr>
          <w:p>
            <w:pPr>
              <w:jc w:val="center"/>
              <w:ind w:left="592"/>
              <w:spacing w:after="0"/>
              <w:rPr>
                <w:sz w:val="20"/>
                <w:szCs w:val="20"/>
                <w:color w:val="auto"/>
              </w:rPr>
            </w:pPr>
            <w:r>
              <w:rPr>
                <w:rFonts w:ascii="Arial" w:cs="Arial" w:eastAsia="Arial" w:hAnsi="Arial"/>
                <w:sz w:val="14"/>
                <w:szCs w:val="14"/>
                <w:color w:val="auto"/>
                <w:w w:val="88"/>
              </w:rPr>
              <w:t>Incentive Plan Awards</w:t>
            </w: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Shares/Units</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Options (#)</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7"/>
              </w:rPr>
              <w:t>/Sh)</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r>
        <w:trPr>
          <w:trHeight w:val="131"/>
        </w:trPr>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312"/>
              <w:spacing w:after="0" w:line="131" w:lineRule="exact"/>
              <w:rPr>
                <w:sz w:val="20"/>
                <w:szCs w:val="20"/>
                <w:color w:val="auto"/>
              </w:rPr>
            </w:pPr>
            <w:r>
              <w:rPr>
                <w:rFonts w:ascii="Arial" w:cs="Arial" w:eastAsia="Arial" w:hAnsi="Arial"/>
                <w:sz w:val="14"/>
                <w:szCs w:val="14"/>
                <w:color w:val="auto"/>
              </w:rPr>
              <w:t>(1)</w:t>
            </w:r>
          </w:p>
        </w:tc>
        <w:tc>
          <w:tcPr>
            <w:tcW w:w="700" w:type="dxa"/>
            <w:vAlign w:val="bottom"/>
          </w:tcPr>
          <w:p>
            <w:pPr>
              <w:jc w:val="center"/>
              <w:spacing w:after="0" w:line="131" w:lineRule="exact"/>
              <w:rPr>
                <w:sz w:val="20"/>
                <w:szCs w:val="20"/>
                <w:color w:val="auto"/>
              </w:rPr>
            </w:pPr>
            <w:r>
              <w:rPr>
                <w:rFonts w:ascii="Arial" w:cs="Arial" w:eastAsia="Arial" w:hAnsi="Arial"/>
                <w:sz w:val="14"/>
                <w:szCs w:val="14"/>
                <w:color w:val="auto"/>
                <w:w w:val="87"/>
              </w:rPr>
              <w:t>(1)(2)</w:t>
            </w:r>
          </w:p>
        </w:tc>
        <w:tc>
          <w:tcPr>
            <w:tcW w:w="900" w:type="dxa"/>
            <w:vAlign w:val="bottom"/>
          </w:tcPr>
          <w:p>
            <w:pPr>
              <w:jc w:val="center"/>
              <w:spacing w:after="0" w:line="131" w:lineRule="exact"/>
              <w:rPr>
                <w:sz w:val="20"/>
                <w:szCs w:val="20"/>
                <w:color w:val="auto"/>
              </w:rPr>
            </w:pPr>
            <w:r>
              <w:rPr>
                <w:rFonts w:ascii="Arial" w:cs="Arial" w:eastAsia="Arial" w:hAnsi="Arial"/>
                <w:sz w:val="14"/>
                <w:szCs w:val="14"/>
                <w:color w:val="auto"/>
                <w:w w:val="93"/>
              </w:rPr>
              <w:t>(1)</w:t>
            </w:r>
          </w:p>
        </w:tc>
        <w:tc>
          <w:tcPr>
            <w:tcW w:w="860" w:type="dxa"/>
            <w:vAlign w:val="bottom"/>
          </w:tcPr>
          <w:p>
            <w:pPr>
              <w:spacing w:after="0"/>
              <w:rPr>
                <w:sz w:val="11"/>
                <w:szCs w:val="11"/>
                <w:color w:val="auto"/>
              </w:rPr>
            </w:pPr>
          </w:p>
        </w:tc>
        <w:tc>
          <w:tcPr>
            <w:tcW w:w="740" w:type="dxa"/>
            <w:vAlign w:val="bottom"/>
            <w:gridSpan w:val="2"/>
          </w:tcPr>
          <w:p>
            <w:pPr>
              <w:jc w:val="right"/>
              <w:ind w:right="212"/>
              <w:spacing w:after="0" w:line="131" w:lineRule="exact"/>
              <w:rPr>
                <w:sz w:val="20"/>
                <w:szCs w:val="20"/>
                <w:color w:val="auto"/>
              </w:rPr>
            </w:pPr>
            <w:r>
              <w:rPr>
                <w:rFonts w:ascii="Arial" w:cs="Arial" w:eastAsia="Arial" w:hAnsi="Arial"/>
                <w:sz w:val="14"/>
                <w:szCs w:val="14"/>
                <w:color w:val="auto"/>
              </w:rPr>
              <w:t>(3)</w:t>
            </w:r>
          </w:p>
        </w:tc>
        <w:tc>
          <w:tcPr>
            <w:tcW w:w="36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4"/>
                <w:szCs w:val="14"/>
                <w:color w:val="auto"/>
                <w:w w:val="95"/>
              </w:rPr>
              <w:t>Maximum</w:t>
            </w: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8"/>
              </w:rPr>
              <w:t>Threshold ($)</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Target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Maximum ($)</w:t>
            </w:r>
          </w:p>
        </w:tc>
        <w:tc>
          <w:tcPr>
            <w:tcW w:w="16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w w:val="95"/>
              </w:rPr>
              <w:t>Threshold (#)   Target (#)</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Neil Austrian</w:t>
            </w:r>
          </w:p>
        </w:tc>
        <w:tc>
          <w:tcPr>
            <w:tcW w:w="8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5/23/2011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236,923</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$ 947,692</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600,000</w:t>
            </w:r>
          </w:p>
        </w:tc>
        <w:tc>
          <w:tcPr>
            <w:tcW w:w="3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w:t>
            </w:r>
          </w:p>
        </w:tc>
        <w:tc>
          <w:tcPr>
            <w:tcW w:w="10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3"/>
              </w:rPr>
              <w:t>2,412,000</w:t>
            </w: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5/23/2011</w:t>
            </w: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600,000</w:t>
            </w:r>
          </w:p>
        </w:tc>
        <w:tc>
          <w:tcPr>
            <w:tcW w:w="36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rPr>
              <w:t>(6)</w:t>
            </w:r>
          </w:p>
        </w:tc>
        <w:tc>
          <w:tcPr>
            <w:tcW w:w="660" w:type="dxa"/>
            <w:vAlign w:val="bottom"/>
            <w:shd w:val="clear" w:color="auto" w:fill="CCEEFF"/>
          </w:tcPr>
          <w:p>
            <w:pPr>
              <w:spacing w:after="0"/>
              <w:rPr>
                <w:sz w:val="7"/>
                <w:szCs w:val="7"/>
                <w:color w:val="auto"/>
              </w:rPr>
            </w:pPr>
          </w:p>
        </w:tc>
        <w:tc>
          <w:tcPr>
            <w:tcW w:w="130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1,872,000</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080" w:type="dxa"/>
            <w:vAlign w:val="bottom"/>
          </w:tcPr>
          <w:p>
            <w:pPr>
              <w:spacing w:after="0" w:line="138" w:lineRule="exact"/>
              <w:rPr>
                <w:sz w:val="20"/>
                <w:szCs w:val="20"/>
                <w:color w:val="auto"/>
              </w:rPr>
            </w:pPr>
            <w:r>
              <w:rPr>
                <w:rFonts w:ascii="Arial" w:cs="Arial" w:eastAsia="Arial" w:hAnsi="Arial"/>
                <w:sz w:val="14"/>
                <w:szCs w:val="14"/>
                <w:color w:val="auto"/>
                <w:w w:val="98"/>
              </w:rPr>
              <w:t>Michael Newman</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5/3/2011</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119,441</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6"/>
              </w:rPr>
              <w:t>$ 477,764</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140,000</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(O)</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10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5.34</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294,840</w:t>
            </w: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8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5/3/2011</w:t>
            </w:r>
          </w:p>
        </w:tc>
        <w:tc>
          <w:tcPr>
            <w:tcW w:w="2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restart"/>
          </w:tcPr>
          <w:p>
            <w:pPr>
              <w:jc w:val="right"/>
              <w:ind w:right="12"/>
              <w:spacing w:after="0" w:line="159" w:lineRule="exact"/>
              <w:rPr>
                <w:sz w:val="20"/>
                <w:szCs w:val="20"/>
                <w:color w:val="auto"/>
              </w:rPr>
            </w:pPr>
            <w:r>
              <w:rPr>
                <w:rFonts w:ascii="Arial" w:cs="Arial" w:eastAsia="Arial" w:hAnsi="Arial"/>
                <w:sz w:val="14"/>
                <w:szCs w:val="14"/>
                <w:color w:val="auto"/>
              </w:rPr>
              <w:t>83,333</w:t>
            </w:r>
          </w:p>
        </w:tc>
        <w:tc>
          <w:tcPr>
            <w:tcW w:w="360" w:type="dxa"/>
            <w:vAlign w:val="bottom"/>
            <w:vMerge w:val="restart"/>
          </w:tcPr>
          <w:p>
            <w:pPr>
              <w:ind w:left="100"/>
              <w:spacing w:after="0" w:line="159" w:lineRule="exact"/>
              <w:rPr>
                <w:sz w:val="20"/>
                <w:szCs w:val="20"/>
                <w:color w:val="auto"/>
              </w:rPr>
            </w:pPr>
            <w:r>
              <w:rPr>
                <w:rFonts w:ascii="Arial" w:cs="Arial" w:eastAsia="Arial" w:hAnsi="Arial"/>
                <w:sz w:val="14"/>
                <w:szCs w:val="14"/>
                <w:color w:val="auto"/>
              </w:rPr>
              <w:t>(R)</w:t>
            </w:r>
          </w:p>
        </w:tc>
        <w:tc>
          <w:tcPr>
            <w:tcW w:w="66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7"/>
                <w:szCs w:val="7"/>
                <w:color w:val="auto"/>
              </w:rPr>
            </w:pPr>
          </w:p>
        </w:tc>
        <w:tc>
          <w:tcPr>
            <w:tcW w:w="102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7"/>
                <w:szCs w:val="7"/>
                <w:color w:val="auto"/>
              </w:rPr>
            </w:pPr>
          </w:p>
        </w:tc>
        <w:tc>
          <w:tcPr>
            <w:tcW w:w="5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355,832</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Peters</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119,441</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$ 477,764</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140,000</w:t>
            </w:r>
          </w:p>
        </w:tc>
        <w:tc>
          <w:tcPr>
            <w:tcW w:w="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5.34</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294,840</w:t>
            </w: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83,333</w:t>
            </w:r>
          </w:p>
        </w:tc>
        <w:tc>
          <w:tcPr>
            <w:tcW w:w="36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rPr>
              <w:t>(R)</w:t>
            </w:r>
          </w:p>
        </w:tc>
        <w:tc>
          <w:tcPr>
            <w:tcW w:w="66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355,832</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080" w:type="dxa"/>
            <w:vAlign w:val="bottom"/>
          </w:tcPr>
          <w:p>
            <w:pPr>
              <w:spacing w:after="0" w:line="138" w:lineRule="exact"/>
              <w:rPr>
                <w:sz w:val="20"/>
                <w:szCs w:val="20"/>
                <w:color w:val="auto"/>
              </w:rPr>
            </w:pPr>
            <w:r>
              <w:rPr>
                <w:rFonts w:ascii="Arial" w:cs="Arial" w:eastAsia="Arial" w:hAnsi="Arial"/>
                <w:sz w:val="14"/>
                <w:szCs w:val="14"/>
                <w:color w:val="auto"/>
              </w:rPr>
              <w:t>Steve Schmidt</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5/3/2011</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119,441</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6"/>
              </w:rPr>
              <w:t>$ 477,764</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140,000</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(O)</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10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5.34</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294,840</w:t>
            </w: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8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5/3/2011</w:t>
            </w:r>
          </w:p>
        </w:tc>
        <w:tc>
          <w:tcPr>
            <w:tcW w:w="2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restart"/>
          </w:tcPr>
          <w:p>
            <w:pPr>
              <w:jc w:val="right"/>
              <w:ind w:right="12"/>
              <w:spacing w:after="0" w:line="159" w:lineRule="exact"/>
              <w:rPr>
                <w:sz w:val="20"/>
                <w:szCs w:val="20"/>
                <w:color w:val="auto"/>
              </w:rPr>
            </w:pPr>
            <w:r>
              <w:rPr>
                <w:rFonts w:ascii="Arial" w:cs="Arial" w:eastAsia="Arial" w:hAnsi="Arial"/>
                <w:sz w:val="14"/>
                <w:szCs w:val="14"/>
                <w:color w:val="auto"/>
              </w:rPr>
              <w:t>83,333</w:t>
            </w:r>
          </w:p>
        </w:tc>
        <w:tc>
          <w:tcPr>
            <w:tcW w:w="360" w:type="dxa"/>
            <w:vAlign w:val="bottom"/>
            <w:vMerge w:val="restart"/>
          </w:tcPr>
          <w:p>
            <w:pPr>
              <w:ind w:left="100"/>
              <w:spacing w:after="0" w:line="159" w:lineRule="exact"/>
              <w:rPr>
                <w:sz w:val="20"/>
                <w:szCs w:val="20"/>
                <w:color w:val="auto"/>
              </w:rPr>
            </w:pPr>
            <w:r>
              <w:rPr>
                <w:rFonts w:ascii="Arial" w:cs="Arial" w:eastAsia="Arial" w:hAnsi="Arial"/>
                <w:sz w:val="14"/>
                <w:szCs w:val="14"/>
                <w:color w:val="auto"/>
              </w:rPr>
              <w:t>(R)</w:t>
            </w:r>
          </w:p>
        </w:tc>
        <w:tc>
          <w:tcPr>
            <w:tcW w:w="66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7"/>
                <w:szCs w:val="7"/>
                <w:color w:val="auto"/>
              </w:rPr>
            </w:pPr>
          </w:p>
        </w:tc>
        <w:tc>
          <w:tcPr>
            <w:tcW w:w="102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7"/>
                <w:szCs w:val="7"/>
                <w:color w:val="auto"/>
              </w:rPr>
            </w:pPr>
          </w:p>
        </w:tc>
        <w:tc>
          <w:tcPr>
            <w:tcW w:w="5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355,832</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Elisa D. Garcia</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78,481</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$ 313,923</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5.34</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168,480</w:t>
            </w: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47,619</w:t>
            </w:r>
          </w:p>
        </w:tc>
        <w:tc>
          <w:tcPr>
            <w:tcW w:w="36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rPr>
              <w:t>(R)</w:t>
            </w:r>
          </w:p>
        </w:tc>
        <w:tc>
          <w:tcPr>
            <w:tcW w:w="66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203,333</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080" w:type="dxa"/>
            <w:vAlign w:val="bottom"/>
          </w:tcPr>
          <w:p>
            <w:pPr>
              <w:spacing w:after="0" w:line="138" w:lineRule="exact"/>
              <w:rPr>
                <w:sz w:val="20"/>
                <w:szCs w:val="20"/>
                <w:color w:val="auto"/>
              </w:rPr>
            </w:pPr>
            <w:r>
              <w:rPr>
                <w:rFonts w:ascii="Arial" w:cs="Arial" w:eastAsia="Arial" w:hAnsi="Arial"/>
                <w:sz w:val="14"/>
                <w:szCs w:val="14"/>
                <w:color w:val="auto"/>
              </w:rPr>
              <w:t>Charles Brown</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5/3/2011</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119,441</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6"/>
              </w:rPr>
              <w:t>$ 477,764</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140,000</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(O)</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10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ind w:left="10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5.34</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294,840</w:t>
            </w: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8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5/3/2011</w:t>
            </w:r>
          </w:p>
        </w:tc>
        <w:tc>
          <w:tcPr>
            <w:tcW w:w="2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restart"/>
          </w:tcPr>
          <w:p>
            <w:pPr>
              <w:jc w:val="right"/>
              <w:ind w:right="12"/>
              <w:spacing w:after="0" w:line="159" w:lineRule="exact"/>
              <w:rPr>
                <w:sz w:val="20"/>
                <w:szCs w:val="20"/>
                <w:color w:val="auto"/>
              </w:rPr>
            </w:pPr>
            <w:r>
              <w:rPr>
                <w:rFonts w:ascii="Arial" w:cs="Arial" w:eastAsia="Arial" w:hAnsi="Arial"/>
                <w:sz w:val="14"/>
                <w:szCs w:val="14"/>
                <w:color w:val="auto"/>
              </w:rPr>
              <w:t>83,333</w:t>
            </w:r>
          </w:p>
        </w:tc>
        <w:tc>
          <w:tcPr>
            <w:tcW w:w="360" w:type="dxa"/>
            <w:vAlign w:val="bottom"/>
            <w:vMerge w:val="restart"/>
          </w:tcPr>
          <w:p>
            <w:pPr>
              <w:ind w:left="100"/>
              <w:spacing w:after="0" w:line="159" w:lineRule="exact"/>
              <w:rPr>
                <w:sz w:val="20"/>
                <w:szCs w:val="20"/>
                <w:color w:val="auto"/>
              </w:rPr>
            </w:pPr>
            <w:r>
              <w:rPr>
                <w:rFonts w:ascii="Arial" w:cs="Arial" w:eastAsia="Arial" w:hAnsi="Arial"/>
                <w:sz w:val="14"/>
                <w:szCs w:val="14"/>
                <w:color w:val="auto"/>
              </w:rPr>
              <w:t>(R)</w:t>
            </w:r>
          </w:p>
        </w:tc>
        <w:tc>
          <w:tcPr>
            <w:tcW w:w="66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7"/>
                <w:szCs w:val="7"/>
                <w:color w:val="auto"/>
              </w:rPr>
            </w:pPr>
          </w:p>
        </w:tc>
        <w:tc>
          <w:tcPr>
            <w:tcW w:w="102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7"/>
                <w:szCs w:val="7"/>
                <w:color w:val="auto"/>
              </w:rPr>
            </w:pPr>
          </w:p>
        </w:tc>
        <w:tc>
          <w:tcPr>
            <w:tcW w:w="500" w:type="dxa"/>
            <w:vAlign w:val="bottom"/>
            <w:vMerge w:val="restart"/>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32"/>
              <w:spacing w:after="0" w:line="159" w:lineRule="exact"/>
              <w:rPr>
                <w:sz w:val="20"/>
                <w:szCs w:val="20"/>
                <w:color w:val="auto"/>
              </w:rPr>
            </w:pPr>
            <w:r>
              <w:rPr>
                <w:rFonts w:ascii="Arial" w:cs="Arial" w:eastAsia="Arial" w:hAnsi="Arial"/>
                <w:sz w:val="14"/>
                <w:szCs w:val="14"/>
                <w:color w:val="auto"/>
              </w:rPr>
              <w:t>355,832</w:t>
            </w: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Daisy Vanderlinde</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78,481</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$ 313,923</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3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5.34</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168,480</w:t>
            </w: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5/3/2011</w:t>
            </w: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47,619</w:t>
            </w:r>
          </w:p>
        </w:tc>
        <w:tc>
          <w:tcPr>
            <w:tcW w:w="360" w:type="dxa"/>
            <w:vAlign w:val="bottom"/>
            <w:vMerge w:val="restart"/>
            <w:shd w:val="clear" w:color="auto" w:fill="CCEEFF"/>
          </w:tcPr>
          <w:p>
            <w:pPr>
              <w:ind w:left="100"/>
              <w:spacing w:after="0" w:line="149" w:lineRule="exact"/>
              <w:rPr>
                <w:sz w:val="20"/>
                <w:szCs w:val="20"/>
                <w:color w:val="auto"/>
              </w:rPr>
            </w:pPr>
            <w:r>
              <w:rPr>
                <w:rFonts w:ascii="Arial" w:cs="Arial" w:eastAsia="Arial" w:hAnsi="Arial"/>
                <w:sz w:val="14"/>
                <w:szCs w:val="14"/>
                <w:color w:val="auto"/>
              </w:rPr>
              <w:t>(R)</w:t>
            </w:r>
          </w:p>
        </w:tc>
        <w:tc>
          <w:tcPr>
            <w:tcW w:w="66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7"/>
                <w:szCs w:val="7"/>
                <w:color w:val="auto"/>
              </w:rPr>
            </w:pPr>
          </w:p>
        </w:tc>
        <w:tc>
          <w:tcPr>
            <w:tcW w:w="102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203,333</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77" w:lineRule="auto"/>
        <w:tabs>
          <w:tab w:leader="none" w:pos="46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Column (c) reflects the minimum payments each NEO could expect to receive if the company reached at least its threshold performance goal in fiscal year 2011 under the 2011 Annual Corporate Bonus Plan. Fiscal year 2011 consisted of a 53-week period which is reflected in the payout amounts. Threshold was set at 25% of target for all NEOs. The Bonus Plan award was based upon the company’s ability to meet annual financial performance targets set by the Compensation Committee. Each of the company’s financial performance goals were targeted to pay out at 100% upon achievement. Maximum parameters were not set for any of the metrics, so payment could be made for extraordinary performance. Performance below the Plan threshold resulted in no bonus being paid for that metric. Further description of the 2011 Annual Corporate Bonus Plan is discussed in the “Annual Cash Bonus” section.</w:t>
      </w:r>
    </w:p>
    <w:p>
      <w:pPr>
        <w:spacing w:after="0" w:line="50" w:lineRule="exact"/>
        <w:rPr>
          <w:rFonts w:ascii="Arial" w:cs="Arial" w:eastAsia="Arial" w:hAnsi="Arial"/>
          <w:sz w:val="20"/>
          <w:szCs w:val="20"/>
          <w:color w:val="auto"/>
          <w:vertAlign w:val="superscript"/>
        </w:rPr>
      </w:pPr>
    </w:p>
    <w:p>
      <w:pPr>
        <w:jc w:val="both"/>
        <w:ind w:left="460" w:hanging="452"/>
        <w:spacing w:after="0" w:line="258" w:lineRule="auto"/>
        <w:tabs>
          <w:tab w:leader="none" w:pos="460" w:val="left"/>
        </w:tabs>
        <w:numPr>
          <w:ilvl w:val="0"/>
          <w:numId w:val="35"/>
        </w:numPr>
        <w:rPr>
          <w:rFonts w:ascii="Arial" w:cs="Arial" w:eastAsia="Arial" w:hAnsi="Arial"/>
          <w:sz w:val="21"/>
          <w:szCs w:val="21"/>
          <w:color w:val="auto"/>
          <w:vertAlign w:val="superscript"/>
        </w:rPr>
      </w:pPr>
      <w:r>
        <w:rPr>
          <w:rFonts w:ascii="Arial" w:cs="Arial" w:eastAsia="Arial" w:hAnsi="Arial"/>
          <w:sz w:val="17"/>
          <w:szCs w:val="17"/>
          <w:color w:val="auto"/>
        </w:rPr>
        <w:t>The amounts shown in column (d) reflect the target payments each NEO could receive if the company reached its target performance goals in 2011 under the 2011 Annual Corporate Bonus Plan. Each NEO’s target annual bonus is expressed as a percentage of such officer’s bonus eligible earnings. For 2011, Mr. Austrian’s target bonus percentage was 140% of annual bonus eligible earnings. Mr. Austrian’s earnings as Interim CEO and Chair were not eligible for the annual bonus. For 2011, the target bonus percentage was 75% of annual bonus eligible earnings for Messrs. Newman, Peters, Schmidt and Brown and 70% of annual bonus eligible earnings for Mlles. Garcia and Vanderlinde.</w:t>
      </w:r>
    </w:p>
    <w:p>
      <w:pPr>
        <w:spacing w:after="0" w:line="61" w:lineRule="exact"/>
        <w:rPr>
          <w:rFonts w:ascii="Arial" w:cs="Arial" w:eastAsia="Arial" w:hAnsi="Arial"/>
          <w:sz w:val="21"/>
          <w:szCs w:val="21"/>
          <w:color w:val="auto"/>
          <w:vertAlign w:val="superscript"/>
        </w:rPr>
      </w:pPr>
    </w:p>
    <w:p>
      <w:pPr>
        <w:jc w:val="both"/>
        <w:ind w:left="460" w:hanging="452"/>
        <w:spacing w:after="0" w:line="256" w:lineRule="auto"/>
        <w:tabs>
          <w:tab w:leader="none" w:pos="460" w:val="left"/>
        </w:tabs>
        <w:numPr>
          <w:ilvl w:val="0"/>
          <w:numId w:val="35"/>
        </w:numPr>
        <w:rPr>
          <w:rFonts w:ascii="Arial" w:cs="Arial" w:eastAsia="Arial" w:hAnsi="Arial"/>
          <w:sz w:val="21"/>
          <w:szCs w:val="21"/>
          <w:color w:val="auto"/>
          <w:vertAlign w:val="superscript"/>
        </w:rPr>
      </w:pPr>
      <w:r>
        <w:rPr>
          <w:rFonts w:ascii="Arial" w:cs="Arial" w:eastAsia="Arial" w:hAnsi="Arial"/>
          <w:sz w:val="17"/>
          <w:szCs w:val="17"/>
          <w:color w:val="auto"/>
        </w:rPr>
        <w:t>Column (g) represents awards of nonqualified stock options and restricted stock shares granted under the company’s 2007 Long-Term Incentive Plan (the “2007 LTIP”). The (O) reflected next to the target share amounts above is used to designate nonqualified stock options granted at a 25% premium price, and the (R) reflected next to the target share amounts is used to designate restricted stock shares. All options and restricted shares granted under the 2011 annual long-term incentive grant vest pro-rata over the three-year period following the grant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28"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Under the 2007 LTIP, grants of stock options must have an exercise price equal to or greater than their “fair market value” on the grant date. The 2007 LTIP defines “fair market value” as the closing stock price on the New York Stock Exchange on the grant date.</w:t>
      </w:r>
    </w:p>
    <w:p>
      <w:pPr>
        <w:spacing w:after="0" w:line="76"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Computed in accordance with FASB ASC Topic 718 for stock-based compensation. See Note A of the consolidated financial statements in our Annual Report on Form 10-K for the year ended December 31, 2011 regarding assumptions underlying valuation of equity awards.</w:t>
      </w:r>
    </w:p>
    <w:p>
      <w:pPr>
        <w:spacing w:after="0" w:line="76" w:lineRule="exact"/>
        <w:rPr>
          <w:rFonts w:ascii="Arial" w:cs="Arial" w:eastAsia="Arial" w:hAnsi="Arial"/>
          <w:sz w:val="22"/>
          <w:szCs w:val="22"/>
          <w:color w:val="auto"/>
          <w:vertAlign w:val="superscript"/>
        </w:rPr>
      </w:pPr>
    </w:p>
    <w:p>
      <w:pPr>
        <w:jc w:val="both"/>
        <w:ind w:left="460" w:hanging="452"/>
        <w:spacing w:after="0" w:line="275" w:lineRule="auto"/>
        <w:tabs>
          <w:tab w:leader="none" w:pos="46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When Mr. Austrian was appointed as the company’s Chair and CEO, in lieu of a sign-on cash bonus and to incentivize future performance, he was awarded two grants of restricted shares of the company’s common stock on May 23, 2011. The first grant of 600,000 restricted shares is subject to vesting based on a service requirement, and the second grant of 600,000 restricted shares is subject to vesting based on both service and performance requirements, as further described under the “Summary of Executive Agreements and Potential Payments Upon Termination or Change in Control.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4"/>
                <w:szCs w:val="14"/>
                <w:color w:val="auto"/>
                <w:w w:val="89"/>
              </w:rPr>
              <w:t>Option Awards</w:t>
            </w: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w w:val="86"/>
              </w:rPr>
              <w:t>Stock Awards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37"/>
        </w:trPr>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(a)</w:t>
            </w:r>
          </w:p>
        </w:tc>
        <w:tc>
          <w:tcPr>
            <w:tcW w:w="76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93"/>
              </w:rPr>
              <w:t>(b)</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(g)</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(h)</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(j)</w:t>
            </w:r>
          </w:p>
        </w:tc>
      </w:tr>
      <w:tr>
        <w:trPr>
          <w:trHeight w:val="131"/>
        </w:trPr>
        <w:tc>
          <w:tcPr>
            <w:tcW w:w="1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4"/>
                <w:szCs w:val="14"/>
                <w:color w:val="auto"/>
                <w:w w:val="88"/>
              </w:rPr>
              <w:t>Equity Incentive</w:t>
            </w:r>
          </w:p>
        </w:tc>
      </w:tr>
      <w:tr>
        <w:trPr>
          <w:trHeight w:val="149"/>
        </w:trPr>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Equity Incentive</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(18)</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Equity Incentive</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Plan Awards:</w:t>
            </w:r>
          </w:p>
        </w:tc>
      </w:tr>
      <w:tr>
        <w:trPr>
          <w:trHeight w:val="149"/>
        </w:trPr>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Plan Awards:</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Market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7"/>
              </w:rPr>
              <w:t>Plan Awards:</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Market or</w:t>
            </w:r>
          </w:p>
        </w:tc>
      </w:tr>
      <w:tr>
        <w:trPr>
          <w:trHeight w:val="149"/>
        </w:trPr>
        <w:tc>
          <w:tcPr>
            <w:tcW w:w="1980" w:type="dxa"/>
            <w:vAlign w:val="bottom"/>
          </w:tcPr>
          <w:p>
            <w:pPr>
              <w:spacing w:after="0"/>
              <w:rPr>
                <w:sz w:val="12"/>
                <w:szCs w:val="12"/>
                <w:color w:val="auto"/>
              </w:rPr>
            </w:pPr>
          </w:p>
        </w:tc>
        <w:tc>
          <w:tcPr>
            <w:tcW w:w="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8"/>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9"/>
              </w:rPr>
              <w:t>Value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8"/>
              </w:rPr>
              <w:t>Payout Value of</w:t>
            </w:r>
          </w:p>
        </w:tc>
      </w:tr>
      <w:tr>
        <w:trPr>
          <w:trHeight w:val="149"/>
        </w:trPr>
        <w:tc>
          <w:tcPr>
            <w:tcW w:w="1980" w:type="dxa"/>
            <w:vAlign w:val="bottom"/>
          </w:tcPr>
          <w:p>
            <w:pPr>
              <w:spacing w:after="0"/>
              <w:rPr>
                <w:sz w:val="12"/>
                <w:szCs w:val="12"/>
                <w:color w:val="auto"/>
              </w:rPr>
            </w:pPr>
          </w:p>
        </w:tc>
        <w:tc>
          <w:tcPr>
            <w:tcW w:w="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7"/>
              </w:rPr>
              <w:t>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or</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2"/>
              </w:rPr>
              <w:t>Shares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7"/>
              </w:rPr>
              <w:t>Unearned</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4"/>
              </w:rPr>
              <w:t>Unearned</w:t>
            </w:r>
          </w:p>
        </w:tc>
      </w:tr>
      <w:tr>
        <w:trPr>
          <w:trHeight w:val="149"/>
        </w:trPr>
        <w:tc>
          <w:tcPr>
            <w:tcW w:w="1980" w:type="dxa"/>
            <w:vAlign w:val="bottom"/>
          </w:tcPr>
          <w:p>
            <w:pPr>
              <w:spacing w:after="0"/>
              <w:rPr>
                <w:sz w:val="12"/>
                <w:szCs w:val="12"/>
                <w:color w:val="auto"/>
              </w:rPr>
            </w:pPr>
          </w:p>
        </w:tc>
        <w:tc>
          <w:tcPr>
            <w:tcW w:w="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92"/>
              </w:rPr>
              <w:t>Underlying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Units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2"/>
              </w:rPr>
              <w:t>Units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 Units or</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Shares, Units or</w:t>
            </w:r>
          </w:p>
        </w:tc>
      </w:tr>
      <w:tr>
        <w:trPr>
          <w:trHeight w:val="149"/>
        </w:trPr>
        <w:tc>
          <w:tcPr>
            <w:tcW w:w="1980" w:type="dxa"/>
            <w:vAlign w:val="bottom"/>
          </w:tcPr>
          <w:p>
            <w:pPr>
              <w:spacing w:after="0"/>
              <w:rPr>
                <w:sz w:val="12"/>
                <w:szCs w:val="12"/>
                <w:color w:val="auto"/>
              </w:rPr>
            </w:pPr>
          </w:p>
        </w:tc>
        <w:tc>
          <w:tcPr>
            <w:tcW w:w="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4"/>
              </w:rPr>
              <w:t>Unexercised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7"/>
              </w:rPr>
              <w:t>Unexercised</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7"/>
              </w:rPr>
              <w:t>Unexercised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That</w:t>
            </w:r>
          </w:p>
        </w:tc>
        <w:tc>
          <w:tcPr>
            <w:tcW w:w="36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Stock That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Other Rights</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6"/>
              </w:rPr>
              <w:t>Other Rights</w:t>
            </w:r>
          </w:p>
        </w:tc>
      </w:tr>
      <w:tr>
        <w:trPr>
          <w:trHeight w:val="149"/>
        </w:trPr>
        <w:tc>
          <w:tcPr>
            <w:tcW w:w="1980" w:type="dxa"/>
            <w:vAlign w:val="bottom"/>
          </w:tcPr>
          <w:p>
            <w:pPr>
              <w:spacing w:after="0"/>
              <w:rPr>
                <w:sz w:val="12"/>
                <w:szCs w:val="12"/>
                <w:color w:val="auto"/>
              </w:rPr>
            </w:pPr>
          </w:p>
        </w:tc>
        <w:tc>
          <w:tcPr>
            <w:tcW w:w="76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9"/>
              </w:rPr>
              <w:t>Options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Options (#)</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4"/>
              </w:rPr>
              <w:t>Unearned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5"/>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Expiration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Have Not</w:t>
            </w:r>
          </w:p>
        </w:tc>
        <w:tc>
          <w:tcPr>
            <w:tcW w:w="360" w:type="dxa"/>
            <w:vAlign w:val="bottom"/>
          </w:tcPr>
          <w:p>
            <w:pPr>
              <w:spacing w:after="0"/>
              <w:rPr>
                <w:sz w:val="12"/>
                <w:szCs w:val="12"/>
                <w:color w:val="auto"/>
              </w:rPr>
            </w:pPr>
          </w:p>
        </w:tc>
        <w:tc>
          <w:tcPr>
            <w:tcW w:w="68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9"/>
              </w:rPr>
              <w:t>Have Not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8"/>
              </w:rPr>
              <w:t>That Have Not</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8"/>
              </w:rPr>
              <w:t>That Have Not</w:t>
            </w:r>
          </w:p>
        </w:tc>
      </w:tr>
      <w:tr>
        <w:trPr>
          <w:trHeight w:val="173"/>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Officers</w:t>
            </w:r>
          </w:p>
        </w:tc>
        <w:tc>
          <w:tcPr>
            <w:tcW w:w="7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85"/>
              </w:rPr>
              <w:t>Exercisable</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Unexercisable</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Options (#)</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Price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Vested (#)</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4"/>
                <w:szCs w:val="14"/>
                <w:color w:val="auto"/>
                <w:w w:val="86"/>
              </w:rPr>
              <w:t>Vested ($)</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Vested (#)</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Vested ($)</w:t>
            </w:r>
          </w:p>
        </w:tc>
      </w:tr>
      <w:tr>
        <w:trPr>
          <w:trHeight w:val="142"/>
        </w:trPr>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PEO - Neil Austrian</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7,500</w:t>
            </w:r>
          </w:p>
        </w:tc>
        <w:tc>
          <w:tcPr>
            <w:tcW w:w="460" w:type="dxa"/>
            <w:vAlign w:val="bottom"/>
            <w:gridSpan w:val="3"/>
            <w:shd w:val="clear" w:color="auto" w:fill="CCEEFF"/>
          </w:tcPr>
          <w:p>
            <w:pPr>
              <w:ind w:left="240"/>
              <w:spacing w:after="0" w:line="142"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9"/>
              </w:rPr>
              <w:t>$19.7250</w:t>
            </w:r>
          </w:p>
        </w:tc>
        <w:tc>
          <w:tcPr>
            <w:tcW w:w="7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4/25/12</w:t>
            </w:r>
          </w:p>
        </w:tc>
        <w:tc>
          <w:tcPr>
            <w:tcW w:w="7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$11.4850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2/14/13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$17.5450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2/18/14</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15,611</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$33.0650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2/14/13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44,155</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$11.2700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3/5/15</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38,736</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$ 0.8500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133,333</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266,667</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$ 4.4300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11/2/17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600,000</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$1,290,000</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600,000</w:t>
            </w:r>
          </w:p>
        </w:tc>
        <w:tc>
          <w:tcPr>
            <w:tcW w:w="3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$1,290,000</w:t>
            </w:r>
          </w:p>
        </w:tc>
      </w:tr>
      <w:tr>
        <w:trPr>
          <w:trHeight w:val="138"/>
        </w:trPr>
        <w:tc>
          <w:tcPr>
            <w:tcW w:w="1980" w:type="dxa"/>
            <w:vAlign w:val="bottom"/>
          </w:tcPr>
          <w:p>
            <w:pPr>
              <w:spacing w:after="0" w:line="138" w:lineRule="exact"/>
              <w:rPr>
                <w:sz w:val="20"/>
                <w:szCs w:val="20"/>
                <w:color w:val="auto"/>
              </w:rPr>
            </w:pPr>
            <w:r>
              <w:rPr>
                <w:rFonts w:ascii="Arial" w:cs="Arial" w:eastAsia="Arial" w:hAnsi="Arial"/>
                <w:sz w:val="14"/>
                <w:szCs w:val="14"/>
                <w:color w:val="auto"/>
              </w:rPr>
              <w:t>PFO - Michael Newman</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403,877</w:t>
            </w:r>
          </w:p>
        </w:tc>
        <w:tc>
          <w:tcPr>
            <w:tcW w:w="220" w:type="dxa"/>
            <w:vAlign w:val="bottom"/>
          </w:tcPr>
          <w:p>
            <w:pPr>
              <w:spacing w:after="0"/>
              <w:rPr>
                <w:sz w:val="11"/>
                <w:szCs w:val="11"/>
                <w:color w:val="auto"/>
              </w:rPr>
            </w:pPr>
          </w:p>
        </w:tc>
        <w:tc>
          <w:tcPr>
            <w:tcW w:w="2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(4)</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rPr>
              <w:t>$ 6.8000</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8/27/15</w:t>
            </w:r>
          </w:p>
        </w:tc>
        <w:tc>
          <w:tcPr>
            <w:tcW w:w="7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$ 0.8500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$ 1.0625</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$ 7.7100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$ 9.6380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9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(7)</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140,000</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$ 5.3400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5/3/18</w:t>
            </w:r>
          </w:p>
        </w:tc>
        <w:tc>
          <w:tcPr>
            <w:tcW w:w="7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83,333</w:t>
            </w:r>
          </w:p>
        </w:tc>
        <w:tc>
          <w:tcPr>
            <w:tcW w:w="3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179,166</w:t>
            </w:r>
          </w:p>
        </w:tc>
        <w:tc>
          <w:tcPr>
            <w:tcW w:w="12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Peters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$ 0.8500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$ 1.0625</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$ 7.7100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$ 9.6380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49,921</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$ 5.1300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$ 5.3400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5/3/18</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83,333</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179,166</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1980" w:type="dxa"/>
            <w:vAlign w:val="bottom"/>
          </w:tcPr>
          <w:p>
            <w:pPr>
              <w:spacing w:after="0" w:line="138" w:lineRule="exact"/>
              <w:rPr>
                <w:sz w:val="20"/>
                <w:szCs w:val="20"/>
                <w:color w:val="auto"/>
              </w:rPr>
            </w:pPr>
            <w:r>
              <w:rPr>
                <w:rFonts w:ascii="Arial" w:cs="Arial" w:eastAsia="Arial" w:hAnsi="Arial"/>
                <w:sz w:val="14"/>
                <w:szCs w:val="14"/>
                <w:color w:val="auto"/>
              </w:rPr>
              <w:t>Steve Schmidt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112,047</w:t>
            </w:r>
          </w:p>
        </w:tc>
        <w:tc>
          <w:tcPr>
            <w:tcW w:w="46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(9)</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99"/>
              </w:rPr>
              <w:t>$28.7300</w:t>
            </w:r>
          </w:p>
        </w:tc>
        <w:tc>
          <w:tcPr>
            <w:tcW w:w="7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7/24/14</w:t>
            </w:r>
          </w:p>
        </w:tc>
        <w:tc>
          <w:tcPr>
            <w:tcW w:w="7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233,333</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233,334</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$ 0.8500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66,667</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66,667</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$ 1.0625</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$ 7.7100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66,666</w:t>
            </w:r>
          </w:p>
        </w:tc>
        <w:tc>
          <w:tcPr>
            <w:tcW w:w="46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133,334</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$ 9.6380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9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(7)</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140,000</w:t>
            </w:r>
          </w:p>
        </w:tc>
        <w:tc>
          <w:tcPr>
            <w:tcW w:w="4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$ 5.3400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5/3/18</w:t>
            </w:r>
          </w:p>
        </w:tc>
        <w:tc>
          <w:tcPr>
            <w:tcW w:w="7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83,333</w:t>
            </w:r>
          </w:p>
        </w:tc>
        <w:tc>
          <w:tcPr>
            <w:tcW w:w="3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179,166</w:t>
            </w:r>
          </w:p>
        </w:tc>
        <w:tc>
          <w:tcPr>
            <w:tcW w:w="12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Elisa D. Garcia</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$ 0.8500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$ 1.0625</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3/4/16</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$ 7.7100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$ 9.6380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11,822</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23,644</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$ 5.1300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6/8/17</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$ 5.3400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5/3/18</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47,619</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102,381</w:t>
            </w:r>
          </w:p>
        </w:tc>
        <w:tc>
          <w:tcPr>
            <w:tcW w:w="1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-2451735</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color w:val="auto"/>
              </w:rPr>
              <w:t>Option Awards</w:t>
            </w: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4"/>
                <w:szCs w:val="14"/>
                <w:color w:val="auto"/>
              </w:rPr>
              <w:t>Stock Awards</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(b)</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(g)</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(h)</w:t>
            </w: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rPr>
              <w:t>(i)</w:t>
            </w:r>
          </w:p>
        </w:tc>
        <w:tc>
          <w:tcPr>
            <w:tcW w:w="12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rPr>
              <w:t>(j)</w:t>
            </w: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7"/>
              </w:rPr>
              <w:t>Equity Incentive</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right"/>
              <w:ind w:right="112"/>
              <w:spacing w:after="0" w:line="131" w:lineRule="exact"/>
              <w:rPr>
                <w:sz w:val="20"/>
                <w:szCs w:val="20"/>
                <w:color w:val="auto"/>
              </w:rPr>
            </w:pPr>
            <w:r>
              <w:rPr>
                <w:rFonts w:ascii="Arial" w:cs="Arial" w:eastAsia="Arial" w:hAnsi="Arial"/>
                <w:sz w:val="14"/>
                <w:szCs w:val="14"/>
                <w:color w:val="auto"/>
                <w:w w:val="97"/>
              </w:rPr>
              <w:t>Equity Incentive</w:t>
            </w:r>
          </w:p>
        </w:tc>
        <w:tc>
          <w:tcPr>
            <w:tcW w:w="1200" w:type="dxa"/>
            <w:vAlign w:val="bottom"/>
          </w:tcPr>
          <w:p>
            <w:pPr>
              <w:jc w:val="center"/>
              <w:ind w:left="32"/>
              <w:spacing w:after="0" w:line="131" w:lineRule="exact"/>
              <w:rPr>
                <w:sz w:val="20"/>
                <w:szCs w:val="20"/>
                <w:color w:val="auto"/>
              </w:rPr>
            </w:pPr>
            <w:r>
              <w:rPr>
                <w:rFonts w:ascii="Arial" w:cs="Arial" w:eastAsia="Arial" w:hAnsi="Arial"/>
                <w:sz w:val="14"/>
                <w:szCs w:val="14"/>
                <w:color w:val="auto"/>
                <w:w w:val="91"/>
              </w:rPr>
              <w:t>Equity Incentive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Plan Awards:</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Number of</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4"/>
              </w:rPr>
              <w:t>Plan Awards:</w:t>
            </w:r>
          </w:p>
        </w:tc>
        <w:tc>
          <w:tcPr>
            <w:tcW w:w="12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7"/>
              </w:rPr>
              <w:t>Plan Awards: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88"/>
              </w:rPr>
              <w:t>Number of</w:t>
            </w:r>
          </w:p>
        </w:tc>
        <w:tc>
          <w:tcPr>
            <w:tcW w:w="44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8"/>
              </w:rPr>
              <w:t>Number of</w:t>
            </w:r>
          </w:p>
        </w:tc>
        <w:tc>
          <w:tcPr>
            <w:tcW w:w="3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88"/>
              </w:rPr>
              <w:t>Number of</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ind w:right="32"/>
              <w:spacing w:after="0" w:line="135" w:lineRule="exact"/>
              <w:rPr>
                <w:sz w:val="20"/>
                <w:szCs w:val="20"/>
                <w:color w:val="auto"/>
              </w:rPr>
            </w:pPr>
            <w:r>
              <w:rPr>
                <w:rFonts w:ascii="Arial" w:cs="Arial" w:eastAsia="Arial" w:hAnsi="Arial"/>
                <w:sz w:val="14"/>
                <w:szCs w:val="14"/>
                <w:color w:val="auto"/>
                <w:w w:val="88"/>
              </w:rPr>
              <w:t>Number of</w:t>
            </w:r>
          </w:p>
        </w:tc>
        <w:tc>
          <w:tcPr>
            <w:tcW w:w="1200" w:type="dxa"/>
            <w:vAlign w:val="bottom"/>
          </w:tcPr>
          <w:p>
            <w:pPr>
              <w:jc w:val="right"/>
              <w:ind w:right="12"/>
              <w:spacing w:after="0" w:line="135" w:lineRule="exact"/>
              <w:rPr>
                <w:sz w:val="20"/>
                <w:szCs w:val="20"/>
                <w:color w:val="auto"/>
              </w:rPr>
            </w:pPr>
            <w:r>
              <w:rPr>
                <w:rFonts w:ascii="Arial" w:cs="Arial" w:eastAsia="Arial" w:hAnsi="Arial"/>
                <w:sz w:val="14"/>
                <w:szCs w:val="14"/>
                <w:color w:val="auto"/>
              </w:rPr>
              <w:t>Market or Payout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 or</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(18) Market</w:t>
            </w: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7"/>
              </w:rPr>
              <w:t>Unearned</w:t>
            </w:r>
          </w:p>
        </w:tc>
        <w:tc>
          <w:tcPr>
            <w:tcW w:w="12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9"/>
              </w:rPr>
              <w:t>Value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Units of</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4"/>
              </w:rPr>
              <w:t>Value of Shares</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Shares, Units or</w:t>
            </w:r>
          </w:p>
        </w:tc>
        <w:tc>
          <w:tcPr>
            <w:tcW w:w="12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Unearned Shares,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4"/>
              </w:rPr>
              <w:t>Unexercised</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Unexercised</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4"/>
              </w:rPr>
              <w:t>Unexercised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Option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Stock That</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 of</w:t>
            </w: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Other Rights</w:t>
            </w:r>
          </w:p>
        </w:tc>
        <w:tc>
          <w:tcPr>
            <w:tcW w:w="120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9"/>
              </w:rPr>
              <w:t>Units or Other</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Options (#)</w:t>
            </w:r>
          </w:p>
        </w:tc>
        <w:tc>
          <w:tcPr>
            <w:tcW w:w="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9"/>
              </w:rPr>
              <w:t>Options (#)</w:t>
            </w: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Unearned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Exercise</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Expiration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Have Not</w:t>
            </w:r>
          </w:p>
        </w:tc>
        <w:tc>
          <w:tcPr>
            <w:tcW w:w="320" w:type="dxa"/>
            <w:vAlign w:val="bottom"/>
          </w:tcPr>
          <w:p>
            <w:pPr>
              <w:spacing w:after="0"/>
              <w:rPr>
                <w:sz w:val="12"/>
                <w:szCs w:val="12"/>
                <w:color w:val="auto"/>
              </w:rPr>
            </w:pP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2"/>
              </w:rPr>
              <w:t>Stock That Have</w:t>
            </w: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0"/>
              </w:rPr>
              <w:t>That Have Not</w:t>
            </w:r>
          </w:p>
        </w:tc>
        <w:tc>
          <w:tcPr>
            <w:tcW w:w="1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Rights That Have</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Officers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Exercisable</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2"/>
              </w:rPr>
              <w:t>Unexercisable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Options (#)</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Price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Vested (#)</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Not Vested ($)</w:t>
            </w: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3"/>
              </w:rPr>
              <w:t>Vested (#)</w:t>
            </w:r>
          </w:p>
        </w:tc>
        <w:tc>
          <w:tcPr>
            <w:tcW w:w="12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86"/>
              </w:rPr>
              <w:t>Not Vested ($)</w:t>
            </w:r>
          </w:p>
        </w:tc>
        <w:tc>
          <w:tcPr>
            <w:tcW w:w="0" w:type="dxa"/>
            <w:vAlign w:val="bottom"/>
          </w:tcPr>
          <w:p>
            <w:pPr>
              <w:spacing w:after="0"/>
              <w:rPr>
                <w:sz w:val="1"/>
                <w:szCs w:val="1"/>
                <w:color w:val="auto"/>
              </w:rPr>
            </w:pPr>
          </w:p>
        </w:tc>
      </w:tr>
      <w:tr>
        <w:trPr>
          <w:trHeight w:val="131"/>
        </w:trPr>
        <w:tc>
          <w:tcPr>
            <w:tcW w:w="1860" w:type="dxa"/>
            <w:vAlign w:val="bottom"/>
          </w:tcPr>
          <w:p>
            <w:pPr>
              <w:spacing w:after="0" w:line="131" w:lineRule="exact"/>
              <w:rPr>
                <w:sz w:val="20"/>
                <w:szCs w:val="20"/>
                <w:color w:val="auto"/>
              </w:rPr>
            </w:pPr>
            <w:r>
              <w:rPr>
                <w:rFonts w:ascii="Arial" w:cs="Arial" w:eastAsia="Arial" w:hAnsi="Arial"/>
                <w:sz w:val="10"/>
                <w:szCs w:val="10"/>
                <w:color w:val="auto"/>
              </w:rPr>
              <w:t xml:space="preserve">Charles Brown </w:t>
            </w:r>
            <w:r>
              <w:rPr>
                <w:rFonts w:ascii="Arial" w:cs="Arial" w:eastAsia="Arial" w:hAnsi="Arial"/>
                <w:sz w:val="15"/>
                <w:szCs w:val="15"/>
                <w:color w:val="auto"/>
                <w:vertAlign w:val="superscript"/>
              </w:rPr>
              <w:t>(16)</w:t>
            </w:r>
          </w:p>
        </w:tc>
        <w:tc>
          <w:tcPr>
            <w:tcW w:w="8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40,000</w:t>
            </w:r>
          </w:p>
        </w:tc>
        <w:tc>
          <w:tcPr>
            <w:tcW w:w="4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(10)</w:t>
            </w:r>
          </w:p>
        </w:tc>
        <w:tc>
          <w:tcPr>
            <w:tcW w:w="940" w:type="dxa"/>
            <w:vAlign w:val="bottom"/>
          </w:tcPr>
          <w:p>
            <w:pPr>
              <w:jc w:val="right"/>
              <w:ind w:right="32"/>
              <w:spacing w:after="0" w:line="131"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31"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31" w:lineRule="exact"/>
              <w:rPr>
                <w:sz w:val="20"/>
                <w:szCs w:val="20"/>
                <w:color w:val="auto"/>
              </w:rPr>
            </w:pPr>
            <w:r>
              <w:rPr>
                <w:rFonts w:ascii="Arial" w:cs="Arial" w:eastAsia="Arial" w:hAnsi="Arial"/>
                <w:sz w:val="14"/>
                <w:szCs w:val="14"/>
                <w:color w:val="auto"/>
                <w:w w:val="88"/>
              </w:rPr>
              <w:t>$16.0650</w:t>
            </w:r>
          </w:p>
        </w:tc>
        <w:tc>
          <w:tcPr>
            <w:tcW w:w="7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2/4/12</w:t>
            </w:r>
          </w:p>
        </w:tc>
        <w:tc>
          <w:tcPr>
            <w:tcW w:w="780" w:type="dxa"/>
            <w:vAlign w:val="bottom"/>
          </w:tcPr>
          <w:p>
            <w:pPr>
              <w:jc w:val="right"/>
              <w:ind w:right="32"/>
              <w:spacing w:after="0" w:line="131"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31"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40,000</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$11.4850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2/14/13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40,000</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$17.5450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$18.0850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2/11/12</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25,000</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$28.2450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7/26/12</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285,423</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$11.2700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133,333</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$ 0.8500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133,333</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$ 1.0625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66,666</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5"/>
              </w:rPr>
              <w:t>$ 7.7100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8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66,666</w:t>
            </w:r>
          </w:p>
        </w:tc>
        <w:tc>
          <w:tcPr>
            <w:tcW w:w="4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w:t>
            </w:r>
          </w:p>
        </w:tc>
        <w:tc>
          <w:tcPr>
            <w:tcW w:w="94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5"/>
              </w:rPr>
              <w:t>$ 9.6380</w:t>
            </w:r>
          </w:p>
        </w:tc>
        <w:tc>
          <w:tcPr>
            <w:tcW w:w="7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3/26/13</w:t>
            </w:r>
          </w:p>
        </w:tc>
        <w:tc>
          <w:tcPr>
            <w:tcW w:w="7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Daisy Vanderlinde </w:t>
            </w:r>
            <w:r>
              <w:rPr>
                <w:rFonts w:ascii="Arial" w:cs="Arial" w:eastAsia="Arial" w:hAnsi="Arial"/>
                <w:sz w:val="17"/>
                <w:szCs w:val="17"/>
                <w:color w:val="auto"/>
                <w:vertAlign w:val="superscript"/>
              </w:rPr>
              <w:t>(17)</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337,500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$ 0.8500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112,500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$ 1.0625</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112,500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$ 7.7100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112,500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$ 9.6380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67,060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$ 5.1300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$ 5.3400</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2/28/13</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Represents annual grants of stock options made to Mr. Austrian as part of his compensation for serving on the Board of Directors for prior years.</w:t>
      </w:r>
    </w:p>
    <w:p>
      <w:pPr>
        <w:spacing w:after="0" w:line="74" w:lineRule="exact"/>
        <w:rPr>
          <w:rFonts w:ascii="Arial" w:cs="Arial" w:eastAsia="Arial" w:hAnsi="Arial"/>
          <w:sz w:val="21"/>
          <w:szCs w:val="21"/>
          <w:color w:val="auto"/>
          <w:vertAlign w:val="superscript"/>
        </w:rPr>
      </w:pPr>
    </w:p>
    <w:p>
      <w:pPr>
        <w:jc w:val="both"/>
        <w:ind w:left="460" w:hanging="452"/>
        <w:spacing w:after="0" w:line="23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Mr. Austrian was granted non-qualified stock options to purchase 400,000 shares of common stock of the company on November 2, 2010 pursuant to and subject to the terms of the company’s 2007 LTIP. Additionally, Mr. Austrian agreed to extend the scheduled vesting date for the unvested stock options to April 30, 2013 when he was named interim Chair and CEO.</w:t>
      </w:r>
    </w:p>
    <w:p>
      <w:pPr>
        <w:spacing w:after="0" w:line="76" w:lineRule="exact"/>
        <w:rPr>
          <w:rFonts w:ascii="Arial" w:cs="Arial" w:eastAsia="Arial" w:hAnsi="Arial"/>
          <w:sz w:val="22"/>
          <w:szCs w:val="22"/>
          <w:color w:val="auto"/>
          <w:vertAlign w:val="superscript"/>
        </w:rPr>
      </w:pPr>
    </w:p>
    <w:p>
      <w:pPr>
        <w:jc w:val="both"/>
        <w:ind w:left="460" w:hanging="452"/>
        <w:spacing w:after="0" w:line="256" w:lineRule="auto"/>
        <w:tabs>
          <w:tab w:leader="none" w:pos="46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In lieu of a sign-on cash bonus and to incentivize future performance, Mr. Austrian was awarded two grants of restricted shares of the company’s common stock on May 23, 2011. The first grant of 600,000 restricted shares is subject to vesting based on a service requirement, and the second grant of 600,000 restricted shares is subject to vesting based on both service and performance requirements, as further described under the “Summary of Executive Agreements and Potential Payments Upon Termination or Change in Control.”</w:t>
      </w:r>
    </w:p>
    <w:p>
      <w:pPr>
        <w:spacing w:after="0" w:line="62" w:lineRule="exact"/>
        <w:rPr>
          <w:rFonts w:ascii="Arial" w:cs="Arial" w:eastAsia="Arial" w:hAnsi="Arial"/>
          <w:sz w:val="21"/>
          <w:szCs w:val="21"/>
          <w:color w:val="auto"/>
          <w:vertAlign w:val="superscript"/>
        </w:rPr>
      </w:pPr>
    </w:p>
    <w:p>
      <w:pPr>
        <w:ind w:left="460" w:hanging="452"/>
        <w:spacing w:after="0" w:line="228"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Represents stock options granted to Mr. Newman on August 27, 2008 under the 2007 LTIP as part of his sign-on with the company. These options vest in three equal installments beginning on the first anniversary of the grant date.</w:t>
      </w:r>
    </w:p>
    <w:p>
      <w:pPr>
        <w:spacing w:after="0" w:line="76" w:lineRule="exact"/>
        <w:rPr>
          <w:rFonts w:ascii="Arial" w:cs="Arial" w:eastAsia="Arial" w:hAnsi="Arial"/>
          <w:sz w:val="22"/>
          <w:szCs w:val="22"/>
          <w:color w:val="auto"/>
          <w:vertAlign w:val="superscript"/>
        </w:rPr>
      </w:pPr>
    </w:p>
    <w:p>
      <w:pPr>
        <w:ind w:left="460" w:hanging="452"/>
        <w:spacing w:after="0" w:line="241" w:lineRule="auto"/>
        <w:tabs>
          <w:tab w:leader="none" w:pos="46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Represents an annual grant of stock options awarded on March 4, 2009 under the 2007 LTIP. 50% of the grant consisted of at-the-money options and 50% consisted of premium-priced options. The options vest in three equal installments beginning on the first anniversary of the grant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41" w:lineRule="auto"/>
        <w:tabs>
          <w:tab w:leader="none" w:pos="46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Represents an annual grant of stock options awarded on March 8, 2010 under the 2007 LTIP. 50% of the grant consisted of at-the-money options and 50% consisted of premium-priced options. The options vest in three equal installments beginning on the first anniversary of the grant date.</w:t>
      </w:r>
    </w:p>
    <w:p>
      <w:pPr>
        <w:spacing w:after="0" w:line="74" w:lineRule="exact"/>
        <w:rPr>
          <w:rFonts w:ascii="Arial" w:cs="Arial" w:eastAsia="Arial" w:hAnsi="Arial"/>
          <w:sz w:val="21"/>
          <w:szCs w:val="21"/>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and restricted stock awarded on May 3, 2011 under the 2007 LTIP. 50% of the grant consisted of premium-priced options and 50% consisted of a grant of restricted stock. Both options and restricted stock vest in three equal installments beginning on the first anniversary of the grant date.</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new at-the-money stock options granted to in exchange for old out-of-the-money stock options as part of the Offer to Exchange that the company offered to its employees on June 8, 2010. Because Mr. Peters, Ms. Garcia, and Ms. Vanderlinde were not NEOs for 2009, they were eligible to participate in the exchange. The exchanged options vest pursuant to the terms of the 2007 LTIP.</w:t>
      </w:r>
    </w:p>
    <w:p>
      <w:pPr>
        <w:spacing w:after="0" w:line="76" w:lineRule="exact"/>
        <w:rPr>
          <w:rFonts w:ascii="Arial" w:cs="Arial" w:eastAsia="Arial" w:hAnsi="Arial"/>
          <w:sz w:val="22"/>
          <w:szCs w:val="22"/>
          <w:color w:val="auto"/>
          <w:vertAlign w:val="superscript"/>
        </w:rPr>
      </w:pPr>
    </w:p>
    <w:p>
      <w:pPr>
        <w:ind w:left="460" w:right="20" w:hanging="452"/>
        <w:spacing w:after="0" w:line="228"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stock options granted to Mr. Schmidt on July 24, 2007 under the 2007 LTIP as part of his sign-on with the company. These awards vested in three equal installments beginning on the first anniversary of the grant date.</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made to Mr. Brown on February 4, 2002 under the company's Long-Term Equity Incentive Plan. The grant consisted of 33,776 nonqualified stock options that vested in three equal installments beginning on the first anniversary of the grant date and 6,224 incentive stock options that cliff-vested on the third anniversary of the grant date.</w:t>
      </w:r>
    </w:p>
    <w:p>
      <w:pPr>
        <w:spacing w:after="0" w:line="76" w:lineRule="exact"/>
        <w:rPr>
          <w:rFonts w:ascii="Arial" w:cs="Arial" w:eastAsia="Arial" w:hAnsi="Arial"/>
          <w:sz w:val="22"/>
          <w:szCs w:val="22"/>
          <w:color w:val="auto"/>
          <w:vertAlign w:val="superscript"/>
        </w:rPr>
      </w:pPr>
    </w:p>
    <w:p>
      <w:pPr>
        <w:jc w:val="both"/>
        <w:ind w:left="460" w:right="2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made to Mr. Brown on February 14, 2003 under the company's Long-Term Equity Incentive Plan. The grant consisted of 31,293 nonqualified stock options that vested in three equal installments beginning on the first anniversary of the grant date and 8,707 incentive stock options that cliff-vested on the third anniversary of the grant date.</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made to Mr. Brown on February 18, 2004 under the company's Long-Term Equity Incentive Plan. The grant consisted of 34,301 nonqualified stock options that vested in three equal installments beginning on the first anniversary of the grant date and 5,699 incentive stock options that cliff-vested on the third anniversary of the grant date.</w:t>
      </w:r>
    </w:p>
    <w:p>
      <w:pPr>
        <w:spacing w:after="0" w:line="76"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made to Mr. Brown on February 11, 2005 under the company's Long-Term Equity Incentive Plan. The options vested in three equal installments beginning on the first anniversary of the grant date.</w:t>
      </w:r>
    </w:p>
    <w:p>
      <w:pPr>
        <w:spacing w:after="0" w:line="76" w:lineRule="exact"/>
        <w:rPr>
          <w:rFonts w:ascii="Arial" w:cs="Arial" w:eastAsia="Arial" w:hAnsi="Arial"/>
          <w:sz w:val="22"/>
          <w:szCs w:val="22"/>
          <w:color w:val="auto"/>
          <w:vertAlign w:val="superscript"/>
        </w:rPr>
      </w:pPr>
    </w:p>
    <w:p>
      <w:pPr>
        <w:ind w:left="460" w:hanging="452"/>
        <w:spacing w:after="0" w:line="272" w:lineRule="auto"/>
        <w:tabs>
          <w:tab w:leader="none" w:pos="460" w:val="left"/>
        </w:tabs>
        <w:numPr>
          <w:ilvl w:val="0"/>
          <w:numId w:val="38"/>
        </w:numPr>
        <w:rPr>
          <w:rFonts w:ascii="Arial" w:cs="Arial" w:eastAsia="Arial" w:hAnsi="Arial"/>
          <w:sz w:val="20"/>
          <w:szCs w:val="20"/>
          <w:color w:val="auto"/>
          <w:vertAlign w:val="superscript"/>
        </w:rPr>
      </w:pPr>
      <w:r>
        <w:rPr>
          <w:rFonts w:ascii="Arial" w:cs="Arial" w:eastAsia="Arial" w:hAnsi="Arial"/>
          <w:sz w:val="16"/>
          <w:szCs w:val="16"/>
          <w:color w:val="auto"/>
        </w:rPr>
        <w:t>Represents a grant of stock options to Mr. Brown on July 26, 2005 under the company's Long-Term Equity Incentive Plan after being promoted to President of the company's International Division. The options vested in three equal installments beginning on the first anniversary of the grant date.</w:t>
      </w:r>
    </w:p>
    <w:p>
      <w:pPr>
        <w:spacing w:after="0" w:line="44" w:lineRule="exact"/>
        <w:rPr>
          <w:rFonts w:ascii="Arial" w:cs="Arial" w:eastAsia="Arial" w:hAnsi="Arial"/>
          <w:sz w:val="20"/>
          <w:szCs w:val="20"/>
          <w:color w:val="auto"/>
          <w:vertAlign w:val="superscript"/>
        </w:rPr>
      </w:pPr>
    </w:p>
    <w:p>
      <w:pPr>
        <w:ind w:left="460" w:hanging="452"/>
        <w:spacing w:after="0" w:line="228"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Represents an annual grant of stock options made to Mr. Brown on March 5, 2008 under the 2007 LTIP. The options vested in three equal installments beginning on the first anniversary of the grant date.</w:t>
      </w:r>
    </w:p>
    <w:p>
      <w:pPr>
        <w:spacing w:after="0" w:line="76" w:lineRule="exact"/>
        <w:rPr>
          <w:rFonts w:ascii="Arial" w:cs="Arial" w:eastAsia="Arial" w:hAnsi="Arial"/>
          <w:sz w:val="22"/>
          <w:szCs w:val="22"/>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In connection with Mr. Brown’s termination of employment with the company, the option expiration date for each of his vested nonqualified stock option grants became the earlier of: each grant’s original expiration date, or March 26, 2013, which was eighteen months following his termination of employment as provided for under the terms of the 2007 LTIP.</w:t>
      </w:r>
    </w:p>
    <w:p>
      <w:pPr>
        <w:spacing w:after="0" w:line="76" w:lineRule="exact"/>
        <w:rPr>
          <w:rFonts w:ascii="Arial" w:cs="Arial" w:eastAsia="Arial" w:hAnsi="Arial"/>
          <w:sz w:val="22"/>
          <w:szCs w:val="22"/>
          <w:color w:val="auto"/>
          <w:vertAlign w:val="superscript"/>
        </w:rPr>
      </w:pPr>
    </w:p>
    <w:p>
      <w:pPr>
        <w:jc w:val="both"/>
        <w:ind w:left="460" w:hanging="452"/>
        <w:spacing w:after="0" w:line="252" w:lineRule="auto"/>
        <w:tabs>
          <w:tab w:leader="none" w:pos="46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In connection with Ms. Vanderlinde’s termination of employment with the company, the option expiration date for each of her vested nonqualified stock option grants became the earlier of: each grant’s original expiration date, or February 28, 2013, which was eighteen months following her termination of employment as provided for under the terms of her previously negotiated Employment Offer Letter Agreement.</w:t>
      </w:r>
    </w:p>
    <w:p>
      <w:pPr>
        <w:spacing w:after="0" w:line="65" w:lineRule="exact"/>
        <w:rPr>
          <w:rFonts w:ascii="Arial" w:cs="Arial" w:eastAsia="Arial" w:hAnsi="Arial"/>
          <w:sz w:val="21"/>
          <w:szCs w:val="21"/>
          <w:color w:val="auto"/>
          <w:vertAlign w:val="superscript"/>
        </w:rPr>
      </w:pPr>
    </w:p>
    <w:p>
      <w:pPr>
        <w:jc w:val="both"/>
        <w:ind w:left="460" w:hanging="452"/>
        <w:spacing w:after="0" w:line="23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Market value of unvested restricted stock awards computed by multiplying the number of shares by $2.15, the closing price of the company's common stock on the New York Stock Exchange on December 30, 2011, the last day the New York Stock Exchange was open during the company's 2011 fiscal year, which ended on December 31, 2011.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Fiscal Year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760" w:type="dxa"/>
            <w:vAlign w:val="bottom"/>
            <w:tcBorders>
              <w:bottom w:val="single" w:sz="8" w:color="auto"/>
            </w:tcBorders>
            <w:gridSpan w:val="2"/>
          </w:tcPr>
          <w:p>
            <w:pPr>
              <w:jc w:val="right"/>
              <w:ind w:right="1258"/>
              <w:spacing w:after="0"/>
              <w:rPr>
                <w:sz w:val="20"/>
                <w:szCs w:val="20"/>
                <w:color w:val="auto"/>
              </w:rPr>
            </w:pPr>
            <w:r>
              <w:rPr>
                <w:rFonts w:ascii="Arial" w:cs="Arial" w:eastAsia="Arial" w:hAnsi="Arial"/>
                <w:sz w:val="14"/>
                <w:szCs w:val="14"/>
                <w:color w:val="auto"/>
              </w:rPr>
              <w:t>Option Awards</w:t>
            </w:r>
          </w:p>
        </w:tc>
        <w:tc>
          <w:tcPr>
            <w:tcW w:w="1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Stock Awards</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4"/>
                <w:szCs w:val="14"/>
                <w:color w:val="auto"/>
              </w:rPr>
              <w:t>(a)</w:t>
            </w:r>
          </w:p>
        </w:tc>
        <w:tc>
          <w:tcPr>
            <w:tcW w:w="2020" w:type="dxa"/>
            <w:vAlign w:val="bottom"/>
          </w:tcPr>
          <w:p>
            <w:pPr>
              <w:jc w:val="center"/>
              <w:ind w:left="181"/>
              <w:spacing w:after="0"/>
              <w:rPr>
                <w:sz w:val="20"/>
                <w:szCs w:val="20"/>
                <w:color w:val="auto"/>
              </w:rPr>
            </w:pPr>
            <w:r>
              <w:rPr>
                <w:rFonts w:ascii="Arial" w:cs="Arial" w:eastAsia="Arial" w:hAnsi="Arial"/>
                <w:sz w:val="14"/>
                <w:szCs w:val="14"/>
                <w:color w:val="auto"/>
                <w:w w:val="93"/>
              </w:rPr>
              <w:t>(b)</w:t>
            </w:r>
          </w:p>
        </w:tc>
        <w:tc>
          <w:tcPr>
            <w:tcW w:w="1740" w:type="dxa"/>
            <w:vAlign w:val="bottom"/>
          </w:tcPr>
          <w:p>
            <w:pPr>
              <w:jc w:val="right"/>
              <w:ind w:right="718"/>
              <w:spacing w:after="0"/>
              <w:rPr>
                <w:sz w:val="20"/>
                <w:szCs w:val="20"/>
                <w:color w:val="auto"/>
              </w:rPr>
            </w:pPr>
            <w:r>
              <w:rPr>
                <w:rFonts w:ascii="Arial" w:cs="Arial" w:eastAsia="Arial" w:hAnsi="Arial"/>
                <w:sz w:val="14"/>
                <w:szCs w:val="14"/>
                <w:color w:val="auto"/>
              </w:rPr>
              <w:t>(c)</w:t>
            </w:r>
          </w:p>
        </w:tc>
        <w:tc>
          <w:tcPr>
            <w:tcW w:w="1580" w:type="dxa"/>
            <w:vAlign w:val="bottom"/>
          </w:tcPr>
          <w:p>
            <w:pPr>
              <w:jc w:val="center"/>
              <w:ind w:left="100"/>
              <w:spacing w:after="0"/>
              <w:rPr>
                <w:sz w:val="20"/>
                <w:szCs w:val="20"/>
                <w:color w:val="auto"/>
              </w:rPr>
            </w:pPr>
            <w:r>
              <w:rPr>
                <w:rFonts w:ascii="Arial" w:cs="Arial" w:eastAsia="Arial" w:hAnsi="Arial"/>
                <w:sz w:val="14"/>
                <w:szCs w:val="14"/>
                <w:color w:val="auto"/>
                <w:w w:val="93"/>
              </w:rPr>
              <w:t>(d)</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center"/>
              <w:ind w:right="158"/>
              <w:spacing w:after="0"/>
              <w:rPr>
                <w:sz w:val="20"/>
                <w:szCs w:val="20"/>
                <w:color w:val="auto"/>
              </w:rPr>
            </w:pPr>
            <w:r>
              <w:rPr>
                <w:rFonts w:ascii="Arial" w:cs="Arial" w:eastAsia="Arial" w:hAnsi="Arial"/>
                <w:sz w:val="14"/>
                <w:szCs w:val="14"/>
                <w:color w:val="auto"/>
                <w:w w:val="81"/>
              </w:rPr>
              <w: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tcPr>
          <w:p>
            <w:pPr>
              <w:jc w:val="right"/>
              <w:ind w:right="301"/>
              <w:spacing w:after="0" w:line="131" w:lineRule="exact"/>
              <w:rPr>
                <w:sz w:val="20"/>
                <w:szCs w:val="20"/>
                <w:color w:val="auto"/>
              </w:rPr>
            </w:pPr>
            <w:r>
              <w:rPr>
                <w:rFonts w:ascii="Arial" w:cs="Arial" w:eastAsia="Arial" w:hAnsi="Arial"/>
                <w:sz w:val="14"/>
                <w:szCs w:val="14"/>
                <w:color w:val="auto"/>
              </w:rPr>
              <w:t>Number of Shares</w:t>
            </w:r>
          </w:p>
        </w:tc>
        <w:tc>
          <w:tcPr>
            <w:tcW w:w="17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left="80"/>
              <w:spacing w:after="0" w:line="131" w:lineRule="exact"/>
              <w:rPr>
                <w:sz w:val="20"/>
                <w:szCs w:val="20"/>
                <w:color w:val="auto"/>
              </w:rPr>
            </w:pPr>
            <w:r>
              <w:rPr>
                <w:rFonts w:ascii="Arial" w:cs="Arial" w:eastAsia="Arial" w:hAnsi="Arial"/>
                <w:sz w:val="14"/>
                <w:szCs w:val="14"/>
                <w:color w:val="auto"/>
                <w:w w:val="86"/>
              </w:rPr>
              <w:t>Number of Shares</w:t>
            </w:r>
          </w:p>
        </w:tc>
        <w:tc>
          <w:tcPr>
            <w:tcW w:w="1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8"/>
              <w:spacing w:after="0" w:line="131" w:lineRule="exact"/>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20" w:type="dxa"/>
            <w:vAlign w:val="bottom"/>
          </w:tcPr>
          <w:p>
            <w:pPr>
              <w:jc w:val="center"/>
              <w:ind w:left="201"/>
              <w:spacing w:after="0" w:line="149" w:lineRule="exact"/>
              <w:rPr>
                <w:sz w:val="20"/>
                <w:szCs w:val="20"/>
                <w:color w:val="auto"/>
              </w:rPr>
            </w:pPr>
            <w:r>
              <w:rPr>
                <w:rFonts w:ascii="Arial" w:cs="Arial" w:eastAsia="Arial" w:hAnsi="Arial"/>
                <w:sz w:val="14"/>
                <w:szCs w:val="14"/>
                <w:color w:val="auto"/>
                <w:w w:val="88"/>
              </w:rPr>
              <w:t>Acquired on</w:t>
            </w:r>
          </w:p>
        </w:tc>
        <w:tc>
          <w:tcPr>
            <w:tcW w:w="1740" w:type="dxa"/>
            <w:vAlign w:val="bottom"/>
          </w:tcPr>
          <w:p>
            <w:pPr>
              <w:jc w:val="right"/>
              <w:ind w:right="298"/>
              <w:spacing w:after="0" w:line="149" w:lineRule="exact"/>
              <w:rPr>
                <w:sz w:val="20"/>
                <w:szCs w:val="20"/>
                <w:color w:val="auto"/>
              </w:rPr>
            </w:pPr>
            <w:r>
              <w:rPr>
                <w:rFonts w:ascii="Arial" w:cs="Arial" w:eastAsia="Arial" w:hAnsi="Arial"/>
                <w:sz w:val="14"/>
                <w:szCs w:val="14"/>
                <w:color w:val="auto"/>
              </w:rPr>
              <w:t>Value Realized on</w:t>
            </w:r>
          </w:p>
        </w:tc>
        <w:tc>
          <w:tcPr>
            <w:tcW w:w="1580" w:type="dxa"/>
            <w:vAlign w:val="bottom"/>
          </w:tcPr>
          <w:p>
            <w:pPr>
              <w:jc w:val="center"/>
              <w:ind w:left="80"/>
              <w:spacing w:after="0" w:line="149" w:lineRule="exact"/>
              <w:rPr>
                <w:sz w:val="20"/>
                <w:szCs w:val="20"/>
                <w:color w:val="auto"/>
              </w:rPr>
            </w:pPr>
            <w:r>
              <w:rPr>
                <w:rFonts w:ascii="Arial" w:cs="Arial" w:eastAsia="Arial" w:hAnsi="Arial"/>
                <w:sz w:val="14"/>
                <w:szCs w:val="14"/>
                <w:color w:val="auto"/>
                <w:w w:val="88"/>
              </w:rPr>
              <w:t>Acquired on</w:t>
            </w:r>
          </w:p>
        </w:tc>
        <w:tc>
          <w:tcPr>
            <w:tcW w:w="1200" w:type="dxa"/>
            <w:vAlign w:val="bottom"/>
          </w:tcPr>
          <w:p>
            <w:pPr>
              <w:spacing w:after="0"/>
              <w:rPr>
                <w:sz w:val="12"/>
                <w:szCs w:val="12"/>
                <w:color w:val="auto"/>
              </w:rPr>
            </w:pPr>
          </w:p>
        </w:tc>
        <w:tc>
          <w:tcPr>
            <w:tcW w:w="1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3"/>
              </w:rPr>
              <w:t>Value Realized on</w:t>
            </w:r>
          </w:p>
        </w:tc>
        <w:tc>
          <w:tcPr>
            <w:tcW w:w="0" w:type="dxa"/>
            <w:vAlign w:val="bottom"/>
          </w:tcPr>
          <w:p>
            <w:pPr>
              <w:spacing w:after="0"/>
              <w:rPr>
                <w:sz w:val="1"/>
                <w:szCs w:val="1"/>
                <w:color w:val="auto"/>
              </w:rPr>
            </w:pPr>
          </w:p>
        </w:tc>
      </w:tr>
      <w:tr>
        <w:trPr>
          <w:trHeight w:val="173"/>
        </w:trPr>
        <w:tc>
          <w:tcPr>
            <w:tcW w:w="3580" w:type="dxa"/>
            <w:vAlign w:val="bottom"/>
            <w:gridSpan w:val="2"/>
          </w:tcPr>
          <w:p>
            <w:pPr>
              <w:spacing w:after="0"/>
              <w:rPr>
                <w:sz w:val="20"/>
                <w:szCs w:val="20"/>
                <w:color w:val="auto"/>
              </w:rPr>
            </w:pPr>
            <w:r>
              <w:rPr>
                <w:rFonts w:ascii="Arial" w:cs="Arial" w:eastAsia="Arial" w:hAnsi="Arial"/>
                <w:sz w:val="14"/>
                <w:szCs w:val="14"/>
                <w:color w:val="auto"/>
              </w:rPr>
              <w:t>Named Officers</w:t>
            </w:r>
          </w:p>
        </w:tc>
        <w:tc>
          <w:tcPr>
            <w:tcW w:w="2020" w:type="dxa"/>
            <w:vAlign w:val="bottom"/>
          </w:tcPr>
          <w:p>
            <w:pPr>
              <w:jc w:val="center"/>
              <w:ind w:left="201"/>
              <w:spacing w:after="0"/>
              <w:rPr>
                <w:sz w:val="20"/>
                <w:szCs w:val="20"/>
                <w:color w:val="auto"/>
              </w:rPr>
            </w:pPr>
            <w:r>
              <w:rPr>
                <w:rFonts w:ascii="Arial" w:cs="Arial" w:eastAsia="Arial" w:hAnsi="Arial"/>
                <w:sz w:val="14"/>
                <w:szCs w:val="14"/>
                <w:color w:val="auto"/>
                <w:w w:val="88"/>
              </w:rPr>
              <w:t>Exercise (#)</w:t>
            </w:r>
          </w:p>
        </w:tc>
        <w:tc>
          <w:tcPr>
            <w:tcW w:w="1740" w:type="dxa"/>
            <w:vAlign w:val="bottom"/>
          </w:tcPr>
          <w:p>
            <w:pPr>
              <w:jc w:val="right"/>
              <w:ind w:right="458"/>
              <w:spacing w:after="0"/>
              <w:rPr>
                <w:sz w:val="20"/>
                <w:szCs w:val="20"/>
                <w:color w:val="auto"/>
              </w:rPr>
            </w:pPr>
            <w:r>
              <w:rPr>
                <w:rFonts w:ascii="Arial" w:cs="Arial" w:eastAsia="Arial" w:hAnsi="Arial"/>
                <w:sz w:val="14"/>
                <w:szCs w:val="14"/>
                <w:color w:val="auto"/>
              </w:rPr>
              <w:t>Exercise ($)</w:t>
            </w:r>
          </w:p>
        </w:tc>
        <w:tc>
          <w:tcPr>
            <w:tcW w:w="1580" w:type="dxa"/>
            <w:vAlign w:val="bottom"/>
          </w:tcPr>
          <w:p>
            <w:pPr>
              <w:jc w:val="center"/>
              <w:ind w:left="100"/>
              <w:spacing w:after="0"/>
              <w:rPr>
                <w:sz w:val="20"/>
                <w:szCs w:val="20"/>
                <w:color w:val="auto"/>
              </w:rPr>
            </w:pPr>
            <w:r>
              <w:rPr>
                <w:rFonts w:ascii="Arial" w:cs="Arial" w:eastAsia="Arial" w:hAnsi="Arial"/>
                <w:sz w:val="14"/>
                <w:szCs w:val="14"/>
                <w:color w:val="auto"/>
                <w:w w:val="88"/>
              </w:rPr>
              <w:t>Vesting (#)</w:t>
            </w: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center"/>
              <w:ind w:right="138"/>
              <w:spacing w:after="0"/>
              <w:rPr>
                <w:sz w:val="20"/>
                <w:szCs w:val="20"/>
                <w:color w:val="auto"/>
              </w:rPr>
            </w:pPr>
            <w:r>
              <w:rPr>
                <w:rFonts w:ascii="Arial" w:cs="Arial" w:eastAsia="Arial" w:hAnsi="Arial"/>
                <w:sz w:val="14"/>
                <w:szCs w:val="14"/>
                <w:color w:val="auto"/>
                <w:w w:val="88"/>
              </w:rPr>
              <w:t>Vesting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Neil Austrian</w:t>
            </w:r>
          </w:p>
        </w:tc>
        <w:tc>
          <w:tcPr>
            <w:tcW w:w="20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29,274</w:t>
            </w:r>
          </w:p>
        </w:tc>
        <w:tc>
          <w:tcPr>
            <w:tcW w:w="120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Michael Newman</w:t>
            </w:r>
          </w:p>
        </w:tc>
        <w:tc>
          <w:tcPr>
            <w:tcW w:w="2020" w:type="dxa"/>
            <w:vAlign w:val="bottom"/>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Kevin Peters</w:t>
            </w:r>
          </w:p>
        </w:tc>
        <w:tc>
          <w:tcPr>
            <w:tcW w:w="202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17,747</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94,946</w:t>
            </w: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Steve Schmidt</w:t>
            </w:r>
          </w:p>
        </w:tc>
        <w:tc>
          <w:tcPr>
            <w:tcW w:w="2020" w:type="dxa"/>
            <w:vAlign w:val="bottom"/>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0"/>
              <w:spacing w:after="0"/>
              <w:rPr>
                <w:sz w:val="20"/>
                <w:szCs w:val="20"/>
                <w:color w:val="auto"/>
              </w:rPr>
            </w:pPr>
            <w:r>
              <w:rPr>
                <w:rFonts w:ascii="Arial" w:cs="Arial" w:eastAsia="Arial" w:hAnsi="Arial"/>
                <w:sz w:val="18"/>
                <w:szCs w:val="18"/>
                <w:color w:val="auto"/>
              </w:rPr>
              <w:t>41,408</w:t>
            </w:r>
          </w:p>
        </w:tc>
        <w:tc>
          <w:tcPr>
            <w:tcW w:w="1200" w:type="dxa"/>
            <w:vAlign w:val="bottom"/>
          </w:tcPr>
          <w:p>
            <w:pPr>
              <w:jc w:val="right"/>
              <w:ind w:right="356"/>
              <w:spacing w:after="0"/>
              <w:rPr>
                <w:sz w:val="20"/>
                <w:szCs w:val="20"/>
                <w:color w:val="auto"/>
              </w:rPr>
            </w:pPr>
            <w:r>
              <w:rPr>
                <w:rFonts w:ascii="Arial" w:cs="Arial" w:eastAsia="Arial" w:hAnsi="Arial"/>
                <w:sz w:val="18"/>
                <w:szCs w:val="18"/>
                <w:color w:val="auto"/>
              </w:rPr>
              <w:t>(3)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221,533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Elisa D. Garcia</w:t>
            </w:r>
          </w:p>
        </w:tc>
        <w:tc>
          <w:tcPr>
            <w:tcW w:w="202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23,662</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126,592</w:t>
            </w: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Charles Brown</w:t>
            </w:r>
          </w:p>
        </w:tc>
        <w:tc>
          <w:tcPr>
            <w:tcW w:w="2020" w:type="dxa"/>
            <w:vAlign w:val="bottom"/>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Daisy Vanderlinde</w:t>
            </w:r>
          </w:p>
        </w:tc>
        <w:tc>
          <w:tcPr>
            <w:tcW w:w="202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71,281</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298,020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28" w:lineRule="auto"/>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Value of Restricted Stock calculated by multiplying the number of shares by the fair market value of the company’s common stock on the NYSE on the vesting date.</w:t>
      </w:r>
    </w:p>
    <w:p>
      <w:pPr>
        <w:spacing w:after="0" w:line="76"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Represents immediate vesting of restricted stock granted in 2011 for Mr. Austrian’s annual retainer as a Director prior to becoming the Chair and CEO on May 23, 2011.</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Represents three-year pro rata vesting of restricted stock granted in 2008 under the LTIP.</w:t>
      </w:r>
    </w:p>
    <w:p>
      <w:pPr>
        <w:spacing w:after="0" w:line="74"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Represents shares of restricted stock for which vesting was accelerated under the LTIP provision of reaching the age of 60 and completing 5 years of continuous service with the company while employed.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offering a traditional qualified defined contribution retirement savings plan (i.e., 401(k) plan), the company continues to maintain three non-qualified deferred compensation plans for the benefit of its executive officers, including the NEOs, which remain frozen to new contributions. The following table reflects information related to the company’s non-qualified deferred compensation plans. Information regarding the company’s 401(k) plan, which is generally available to all employees, is not included.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Arial" w:cs="Arial" w:eastAsia="Arial" w:hAnsi="Arial"/>
                <w:sz w:val="14"/>
                <w:szCs w:val="14"/>
                <w:color w:val="auto"/>
              </w:rPr>
              <w:t>(a)</w:t>
            </w:r>
          </w:p>
        </w:tc>
        <w:tc>
          <w:tcPr>
            <w:tcW w:w="2620" w:type="dxa"/>
            <w:vAlign w:val="bottom"/>
          </w:tcPr>
          <w:p>
            <w:pPr>
              <w:jc w:val="right"/>
              <w:ind w:right="620"/>
              <w:spacing w:after="0"/>
              <w:rPr>
                <w:sz w:val="20"/>
                <w:szCs w:val="20"/>
                <w:color w:val="auto"/>
              </w:rPr>
            </w:pPr>
            <w:r>
              <w:rPr>
                <w:rFonts w:ascii="Arial" w:cs="Arial" w:eastAsia="Arial" w:hAnsi="Arial"/>
                <w:sz w:val="14"/>
                <w:szCs w:val="14"/>
                <w:color w:val="auto"/>
              </w:rPr>
              <w:t>(b)</w:t>
            </w:r>
          </w:p>
        </w:tc>
        <w:tc>
          <w:tcPr>
            <w:tcW w:w="1560" w:type="dxa"/>
            <w:vAlign w:val="bottom"/>
          </w:tcPr>
          <w:p>
            <w:pPr>
              <w:jc w:val="right"/>
              <w:ind w:right="620"/>
              <w:spacing w:after="0"/>
              <w:rPr>
                <w:sz w:val="20"/>
                <w:szCs w:val="20"/>
                <w:color w:val="auto"/>
              </w:rPr>
            </w:pPr>
            <w:r>
              <w:rPr>
                <w:rFonts w:ascii="Arial" w:cs="Arial" w:eastAsia="Arial" w:hAnsi="Arial"/>
                <w:sz w:val="14"/>
                <w:szCs w:val="14"/>
                <w:color w:val="auto"/>
              </w:rPr>
              <w:t>(c)</w:t>
            </w:r>
          </w:p>
        </w:tc>
        <w:tc>
          <w:tcPr>
            <w:tcW w:w="480" w:type="dxa"/>
            <w:vAlign w:val="bottom"/>
          </w:tcPr>
          <w:p>
            <w:pPr>
              <w:spacing w:after="0"/>
              <w:rPr>
                <w:sz w:val="14"/>
                <w:szCs w:val="14"/>
                <w:color w:val="auto"/>
              </w:rPr>
            </w:pPr>
          </w:p>
        </w:tc>
        <w:tc>
          <w:tcPr>
            <w:tcW w:w="1120" w:type="dxa"/>
            <w:vAlign w:val="bottom"/>
          </w:tcPr>
          <w:p>
            <w:pPr>
              <w:jc w:val="right"/>
              <w:ind w:right="657"/>
              <w:spacing w:after="0"/>
              <w:rPr>
                <w:sz w:val="20"/>
                <w:szCs w:val="20"/>
                <w:color w:val="auto"/>
              </w:rPr>
            </w:pPr>
            <w:r>
              <w:rPr>
                <w:rFonts w:ascii="Arial" w:cs="Arial" w:eastAsia="Arial" w:hAnsi="Arial"/>
                <w:sz w:val="14"/>
                <w:szCs w:val="14"/>
                <w:color w:val="auto"/>
              </w:rPr>
              <w:t>(d)</w:t>
            </w:r>
          </w:p>
        </w:tc>
        <w:tc>
          <w:tcPr>
            <w:tcW w:w="420" w:type="dxa"/>
            <w:vAlign w:val="bottom"/>
          </w:tcPr>
          <w:p>
            <w:pPr>
              <w:spacing w:after="0"/>
              <w:rPr>
                <w:sz w:val="14"/>
                <w:szCs w:val="14"/>
                <w:color w:val="auto"/>
              </w:rPr>
            </w:pPr>
          </w:p>
        </w:tc>
        <w:tc>
          <w:tcPr>
            <w:tcW w:w="1260" w:type="dxa"/>
            <w:vAlign w:val="bottom"/>
          </w:tcPr>
          <w:p>
            <w:pPr>
              <w:jc w:val="center"/>
              <w:ind w:right="378"/>
              <w:spacing w:after="0"/>
              <w:rPr>
                <w:sz w:val="20"/>
                <w:szCs w:val="20"/>
                <w:color w:val="auto"/>
              </w:rPr>
            </w:pPr>
            <w:r>
              <w:rPr>
                <w:rFonts w:ascii="Arial" w:cs="Arial" w:eastAsia="Arial" w:hAnsi="Arial"/>
                <w:sz w:val="14"/>
                <w:szCs w:val="14"/>
                <w:color w:val="auto"/>
                <w:w w:val="93"/>
              </w:rPr>
              <w:t>(e)</w:t>
            </w:r>
          </w:p>
        </w:tc>
        <w:tc>
          <w:tcPr>
            <w:tcW w:w="460" w:type="dxa"/>
            <w:vAlign w:val="bottom"/>
          </w:tcPr>
          <w:p>
            <w:pPr>
              <w:spacing w:after="0"/>
              <w:rPr>
                <w:sz w:val="14"/>
                <w:szCs w:val="14"/>
                <w:color w:val="auto"/>
              </w:rPr>
            </w:pPr>
          </w:p>
        </w:tc>
        <w:tc>
          <w:tcPr>
            <w:tcW w:w="780" w:type="dxa"/>
            <w:vAlign w:val="bottom"/>
          </w:tcPr>
          <w:p>
            <w:pPr>
              <w:jc w:val="right"/>
              <w:ind w:right="337"/>
              <w:spacing w:after="0"/>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2620" w:type="dxa"/>
            <w:vAlign w:val="bottom"/>
            <w:tcBorders>
              <w:top w:val="single" w:sz="8" w:color="auto"/>
            </w:tcBorders>
          </w:tcPr>
          <w:p>
            <w:pPr>
              <w:jc w:val="right"/>
              <w:ind w:right="420"/>
              <w:spacing w:after="0" w:line="129" w:lineRule="exact"/>
              <w:rPr>
                <w:sz w:val="20"/>
                <w:szCs w:val="20"/>
                <w:color w:val="auto"/>
              </w:rPr>
            </w:pPr>
            <w:r>
              <w:rPr>
                <w:rFonts w:ascii="Arial" w:cs="Arial" w:eastAsia="Arial" w:hAnsi="Arial"/>
                <w:sz w:val="14"/>
                <w:szCs w:val="14"/>
                <w:b w:val="1"/>
                <w:bCs w:val="1"/>
                <w:color w:val="auto"/>
              </w:rPr>
              <w:t>Executive</w:t>
            </w:r>
          </w:p>
        </w:tc>
        <w:tc>
          <w:tcPr>
            <w:tcW w:w="1560" w:type="dxa"/>
            <w:vAlign w:val="bottom"/>
            <w:tcBorders>
              <w:top w:val="single" w:sz="8" w:color="auto"/>
            </w:tcBorders>
          </w:tcPr>
          <w:p>
            <w:pPr>
              <w:jc w:val="right"/>
              <w:ind w:right="400"/>
              <w:spacing w:after="0" w:line="129" w:lineRule="exact"/>
              <w:rPr>
                <w:sz w:val="20"/>
                <w:szCs w:val="20"/>
                <w:color w:val="auto"/>
              </w:rPr>
            </w:pPr>
            <w:r>
              <w:rPr>
                <w:rFonts w:ascii="Arial" w:cs="Arial" w:eastAsia="Arial" w:hAnsi="Arial"/>
                <w:sz w:val="14"/>
                <w:szCs w:val="14"/>
                <w:b w:val="1"/>
                <w:bCs w:val="1"/>
                <w:color w:val="auto"/>
              </w:rPr>
              <w:t>Registrant</w:t>
            </w:r>
          </w:p>
        </w:tc>
        <w:tc>
          <w:tcPr>
            <w:tcW w:w="1600" w:type="dxa"/>
            <w:vAlign w:val="bottom"/>
            <w:tcBorders>
              <w:top w:val="single" w:sz="8" w:color="auto"/>
            </w:tcBorders>
            <w:gridSpan w:val="2"/>
          </w:tcPr>
          <w:p>
            <w:pPr>
              <w:ind w:left="400"/>
              <w:spacing w:after="0" w:line="129" w:lineRule="exact"/>
              <w:rPr>
                <w:sz w:val="20"/>
                <w:szCs w:val="20"/>
                <w:color w:val="auto"/>
              </w:rPr>
            </w:pPr>
            <w:r>
              <w:rPr>
                <w:rFonts w:ascii="Arial" w:cs="Arial" w:eastAsia="Arial" w:hAnsi="Arial"/>
                <w:sz w:val="14"/>
                <w:szCs w:val="14"/>
                <w:b w:val="1"/>
                <w:bCs w:val="1"/>
                <w:color w:val="auto"/>
              </w:rPr>
              <w:t>(1) Aggregate</w:t>
            </w:r>
          </w:p>
        </w:tc>
        <w:tc>
          <w:tcPr>
            <w:tcW w:w="4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378"/>
              <w:spacing w:after="0" w:line="129" w:lineRule="exact"/>
              <w:rPr>
                <w:sz w:val="20"/>
                <w:szCs w:val="20"/>
                <w:color w:val="auto"/>
              </w:rPr>
            </w:pPr>
            <w:r>
              <w:rPr>
                <w:rFonts w:ascii="Arial" w:cs="Arial" w:eastAsia="Arial" w:hAnsi="Arial"/>
                <w:sz w:val="14"/>
                <w:szCs w:val="14"/>
                <w:b w:val="1"/>
                <w:bCs w:val="1"/>
                <w:color w:val="auto"/>
                <w:w w:val="86"/>
              </w:rPr>
              <w:t>Aggregate</w:t>
            </w:r>
          </w:p>
        </w:tc>
        <w:tc>
          <w:tcPr>
            <w:tcW w:w="1240" w:type="dxa"/>
            <w:vAlign w:val="bottom"/>
            <w:tcBorders>
              <w:top w:val="single" w:sz="8" w:color="auto"/>
            </w:tcBorders>
            <w:gridSpan w:val="2"/>
          </w:tcPr>
          <w:p>
            <w:pPr>
              <w:ind w:left="360"/>
              <w:spacing w:after="0" w:line="129" w:lineRule="exact"/>
              <w:rPr>
                <w:sz w:val="20"/>
                <w:szCs w:val="20"/>
                <w:color w:val="auto"/>
              </w:rPr>
            </w:pPr>
            <w:r>
              <w:rPr>
                <w:rFonts w:ascii="Arial" w:cs="Arial" w:eastAsia="Arial" w:hAnsi="Arial"/>
                <w:sz w:val="14"/>
                <w:szCs w:val="14"/>
                <w:b w:val="1"/>
                <w:bCs w:val="1"/>
                <w:color w:val="auto"/>
                <w:w w:val="95"/>
              </w:rPr>
              <w:t>(2) 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62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Contributions</w:t>
            </w:r>
          </w:p>
        </w:tc>
        <w:tc>
          <w:tcPr>
            <w:tcW w:w="156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Contributions</w:t>
            </w:r>
          </w:p>
        </w:tc>
        <w:tc>
          <w:tcPr>
            <w:tcW w:w="480" w:type="dxa"/>
            <w:vAlign w:val="bottom"/>
          </w:tcPr>
          <w:p>
            <w:pPr>
              <w:spacing w:after="0"/>
              <w:rPr>
                <w:sz w:val="12"/>
                <w:szCs w:val="12"/>
                <w:color w:val="auto"/>
              </w:rPr>
            </w:pPr>
          </w:p>
        </w:tc>
        <w:tc>
          <w:tcPr>
            <w:tcW w:w="1120" w:type="dxa"/>
            <w:vAlign w:val="bottom"/>
          </w:tcPr>
          <w:p>
            <w:pPr>
              <w:jc w:val="right"/>
              <w:ind w:right="477"/>
              <w:spacing w:after="0" w:line="149" w:lineRule="exact"/>
              <w:rPr>
                <w:sz w:val="20"/>
                <w:szCs w:val="20"/>
                <w:color w:val="auto"/>
              </w:rPr>
            </w:pPr>
            <w:r>
              <w:rPr>
                <w:rFonts w:ascii="Arial" w:cs="Arial" w:eastAsia="Arial" w:hAnsi="Arial"/>
                <w:sz w:val="14"/>
                <w:szCs w:val="14"/>
                <w:b w:val="1"/>
                <w:bCs w:val="1"/>
                <w:color w:val="auto"/>
                <w:w w:val="90"/>
              </w:rPr>
              <w:t>Earnings</w:t>
            </w:r>
          </w:p>
        </w:tc>
        <w:tc>
          <w:tcPr>
            <w:tcW w:w="420" w:type="dxa"/>
            <w:vAlign w:val="bottom"/>
          </w:tcPr>
          <w:p>
            <w:pPr>
              <w:spacing w:after="0"/>
              <w:rPr>
                <w:sz w:val="12"/>
                <w:szCs w:val="12"/>
                <w:color w:val="auto"/>
              </w:rPr>
            </w:pPr>
          </w:p>
        </w:tc>
        <w:tc>
          <w:tcPr>
            <w:tcW w:w="126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2"/>
              </w:rPr>
              <w:t>Withdrawals/</w:t>
            </w:r>
          </w:p>
        </w:tc>
        <w:tc>
          <w:tcPr>
            <w:tcW w:w="460" w:type="dxa"/>
            <w:vAlign w:val="bottom"/>
          </w:tcPr>
          <w:p>
            <w:pPr>
              <w:spacing w:after="0"/>
              <w:rPr>
                <w:sz w:val="12"/>
                <w:szCs w:val="12"/>
                <w:color w:val="auto"/>
              </w:rPr>
            </w:pPr>
          </w:p>
        </w:tc>
        <w:tc>
          <w:tcPr>
            <w:tcW w:w="7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Named Officers</w:t>
            </w:r>
          </w:p>
        </w:tc>
        <w:tc>
          <w:tcPr>
            <w:tcW w:w="2620" w:type="dxa"/>
            <w:vAlign w:val="bottom"/>
          </w:tcPr>
          <w:p>
            <w:pPr>
              <w:jc w:val="right"/>
              <w:ind w:right="300"/>
              <w:spacing w:after="0"/>
              <w:rPr>
                <w:sz w:val="20"/>
                <w:szCs w:val="20"/>
                <w:color w:val="auto"/>
              </w:rPr>
            </w:pPr>
            <w:r>
              <w:rPr>
                <w:rFonts w:ascii="Arial" w:cs="Arial" w:eastAsia="Arial" w:hAnsi="Arial"/>
                <w:sz w:val="14"/>
                <w:szCs w:val="14"/>
                <w:b w:val="1"/>
                <w:bCs w:val="1"/>
                <w:color w:val="auto"/>
              </w:rPr>
              <w:t>in Last FY ($)</w:t>
            </w:r>
          </w:p>
        </w:tc>
        <w:tc>
          <w:tcPr>
            <w:tcW w:w="1560" w:type="dxa"/>
            <w:vAlign w:val="bottom"/>
          </w:tcPr>
          <w:p>
            <w:pPr>
              <w:jc w:val="right"/>
              <w:ind w:right="300"/>
              <w:spacing w:after="0"/>
              <w:rPr>
                <w:sz w:val="20"/>
                <w:szCs w:val="20"/>
                <w:color w:val="auto"/>
              </w:rPr>
            </w:pPr>
            <w:r>
              <w:rPr>
                <w:rFonts w:ascii="Arial" w:cs="Arial" w:eastAsia="Arial" w:hAnsi="Arial"/>
                <w:sz w:val="14"/>
                <w:szCs w:val="14"/>
                <w:b w:val="1"/>
                <w:bCs w:val="1"/>
                <w:color w:val="auto"/>
              </w:rPr>
              <w:t>in Last FY ($)</w:t>
            </w:r>
          </w:p>
        </w:tc>
        <w:tc>
          <w:tcPr>
            <w:tcW w:w="1600" w:type="dxa"/>
            <w:vAlign w:val="bottom"/>
            <w:gridSpan w:val="2"/>
          </w:tcPr>
          <w:p>
            <w:pPr>
              <w:ind w:left="380"/>
              <w:spacing w:after="0"/>
              <w:rPr>
                <w:sz w:val="20"/>
                <w:szCs w:val="20"/>
                <w:color w:val="auto"/>
              </w:rPr>
            </w:pPr>
            <w:r>
              <w:rPr>
                <w:rFonts w:ascii="Arial" w:cs="Arial" w:eastAsia="Arial" w:hAnsi="Arial"/>
                <w:sz w:val="14"/>
                <w:szCs w:val="14"/>
                <w:b w:val="1"/>
                <w:bCs w:val="1"/>
                <w:color w:val="auto"/>
              </w:rPr>
              <w:t>in Last FY ($)</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Distributions ($)</w:t>
            </w: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Last FYE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Neil Austrian</w:t>
            </w:r>
          </w:p>
        </w:tc>
        <w:tc>
          <w:tcPr>
            <w:tcW w:w="262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720" w:type="dxa"/>
            <w:vAlign w:val="bottom"/>
            <w:gridSpan w:val="2"/>
          </w:tcPr>
          <w:p>
            <w:pPr>
              <w:spacing w:after="0"/>
              <w:rPr>
                <w:sz w:val="20"/>
                <w:szCs w:val="20"/>
                <w:color w:val="auto"/>
              </w:rPr>
            </w:pPr>
            <w:r>
              <w:rPr>
                <w:rFonts w:ascii="Arial" w:cs="Arial" w:eastAsia="Arial" w:hAnsi="Arial"/>
                <w:sz w:val="18"/>
                <w:szCs w:val="18"/>
                <w:color w:val="auto"/>
              </w:rPr>
              <w:t>Michael Newman</w:t>
            </w:r>
          </w:p>
        </w:tc>
        <w:tc>
          <w:tcPr>
            <w:tcW w:w="26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6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Kevin Peters</w:t>
            </w:r>
          </w:p>
        </w:tc>
        <w:tc>
          <w:tcPr>
            <w:tcW w:w="26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720" w:type="dxa"/>
            <w:vAlign w:val="bottom"/>
            <w:gridSpan w:val="2"/>
          </w:tcPr>
          <w:p>
            <w:pPr>
              <w:spacing w:after="0"/>
              <w:rPr>
                <w:sz w:val="20"/>
                <w:szCs w:val="20"/>
                <w:color w:val="auto"/>
              </w:rPr>
            </w:pPr>
            <w:r>
              <w:rPr>
                <w:rFonts w:ascii="Arial" w:cs="Arial" w:eastAsia="Arial" w:hAnsi="Arial"/>
                <w:sz w:val="18"/>
                <w:szCs w:val="18"/>
                <w:color w:val="auto"/>
              </w:rPr>
              <w:t>Steve Schmidt</w:t>
            </w:r>
          </w:p>
        </w:tc>
        <w:tc>
          <w:tcPr>
            <w:tcW w:w="26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4"/>
                <w:szCs w:val="24"/>
                <w:color w:val="auto"/>
              </w:rPr>
            </w:pPr>
          </w:p>
        </w:tc>
        <w:tc>
          <w:tcPr>
            <w:tcW w:w="126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24,844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Elisa D. Garcia</w:t>
            </w:r>
          </w:p>
        </w:tc>
        <w:tc>
          <w:tcPr>
            <w:tcW w:w="26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720" w:type="dxa"/>
            <w:vAlign w:val="bottom"/>
            <w:gridSpan w:val="2"/>
          </w:tcPr>
          <w:p>
            <w:pPr>
              <w:spacing w:after="0"/>
              <w:rPr>
                <w:sz w:val="20"/>
                <w:szCs w:val="20"/>
                <w:color w:val="auto"/>
              </w:rPr>
            </w:pPr>
            <w:r>
              <w:rPr>
                <w:rFonts w:ascii="Arial" w:cs="Arial" w:eastAsia="Arial" w:hAnsi="Arial"/>
                <w:sz w:val="18"/>
                <w:szCs w:val="18"/>
                <w:color w:val="auto"/>
              </w:rPr>
              <w:t>Charles Brown</w:t>
            </w:r>
          </w:p>
        </w:tc>
        <w:tc>
          <w:tcPr>
            <w:tcW w:w="26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77"/>
              <w:spacing w:after="0"/>
              <w:rPr>
                <w:sz w:val="20"/>
                <w:szCs w:val="20"/>
                <w:color w:val="auto"/>
              </w:rPr>
            </w:pPr>
            <w:r>
              <w:rPr>
                <w:rFonts w:ascii="Arial" w:cs="Arial" w:eastAsia="Arial" w:hAnsi="Arial"/>
                <w:sz w:val="18"/>
                <w:szCs w:val="18"/>
                <w:color w:val="auto"/>
              </w:rPr>
              <w:t>(15,341)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8"/>
              <w:spacing w:after="0"/>
              <w:rPr>
                <w:sz w:val="20"/>
                <w:szCs w:val="20"/>
                <w:color w:val="auto"/>
              </w:rPr>
            </w:pPr>
            <w:r>
              <w:rPr>
                <w:rFonts w:ascii="Arial" w:cs="Arial" w:eastAsia="Arial" w:hAnsi="Arial"/>
                <w:sz w:val="18"/>
                <w:szCs w:val="18"/>
                <w:color w:val="auto"/>
              </w:rPr>
              <w:t>72,216</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43,443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Daisy Vanderlinde</w:t>
            </w:r>
          </w:p>
        </w:tc>
        <w:tc>
          <w:tcPr>
            <w:tcW w:w="26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ind w:left="5620" w:right="700" w:hanging="5612"/>
        <w:spacing w:after="0" w:line="387" w:lineRule="auto"/>
        <w:tabs>
          <w:tab w:leader="none" w:pos="448"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Amounts shown in this column are not otherwise reported as compensation in the last completed fiscal year in the Summary Compensation Table. 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9" w:lineRule="auto"/>
        <w:tabs>
          <w:tab w:leader="none" w:pos="46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In 2008, as permitted under the Internal Revenue Code Section 409A transition rules, participants in the non-qualified deferred compensation plans were provided with the ability to make an election to change the method of distribution of their accounts. Mr. Schmidt and Ms. Vanderlinde each made an election in 2008 to change their account distribution method and instead received a full distribution of their account in July 2009. Following the distribution of each of these NEO's account, the remaining account balance for each NEO reflects the company matching contributions that may not be withdrawn until at least six months after an NEO terminates service with the company. Mr. Brown also made an election in 2008 to change his account distribution method and received a partial distribution of his account in July 2009.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October, 2010, the Compensation Committee set the 2011 compensation for the outside Directors at an annual targeted economic value (“annual retainer fee”) of $200,000, with $75,000 to be in the form of cash and the remainder in the form of restricted stock, which is fully vested at the time of grant as required under the terms of the 2007 Long-Term Incentive Plan. The restricted stock is granted in a lump sum as soon as administratively practicable following the release of election results from the annual shareholder meeting which is held in April. The equity portion of the 2011 annual retainer fee was granted on May 3, 2011. Directors may elect to defer the time of release or payment and/or the form of payment of any shares of restricted stock by converting such stock to restricted stock units based on the stock’s closing price on the date of grant; provided that, they make the election in the prior calendar year. The purpose of this allocation of compensation with the majority of the annual retainer fee payable in restricted stock is to more closely align the compensation of the Directors with the interests of long-term shareholders of the company. The 2011 annual retainer fee is at the median compensation of the boards of directors of the company’s Peer Group for fiscal year 2010 (described in the “Competitive Benchmarking” section). A separate compensation arrangement has been established for the three Directors added to the Board in 2009 pursuant to the terms of the Investor Rights Agreement in connection with the company’s transaction with BC Partners. Because of the company’s equity held by BC Partners as a result of its securities purchase in 2009, and because the three additional representatives added to the Board are employed by BC Partners, the compensation of the BC Partner representatives for Board service is paid entirely in cash and paid to BC Partners directly instead of to the individuals. All cash paid to all of the Directors is payable in equal quarterly installments at the end of each quarter during which the Director served. No deferrals of cash are permitted.</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Chair receives additional compensation of $25,000 annually for serving in that role, the Lead Director and the Compensation Committee Chair each receive additional compensation of $20,000 annually for serving in their respective roles, and all other Committee Chairs each receive $15,000 annually for serving as chairs of their respective committees. The additional compensation for services as the Lead Director or as a committee chair must be taken in the form of restricted stock unless the Director elects to convert such restricted stock into restricted stock units under his or her annual election made in the prior year. By granting equity compensation to Directors using restricted stock, long-term interest of the Directors in the company is achieved without the additional risk that would be created if a stock option grant was used.</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search for a new CEO, the Board formed a Search Committee made up of Ms. Evans (Chair), Ms. Hart, Mr. Rubin and Mr. Austrian. The Search Committee members, with the exception of Mr. Austrian, received cash compensation as follows: Ms. Evans $25,000; Ms. Hart $15,000; and Mr. Rubin $15,000, which was paid to BC Partners.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the Compensation Committee approved the continued use of the stock ownership guidelines for the Directors, which requires that all Directors, with the exception of the Directors representing BC Partners, own an amount of the company’s stock equal to one times annual retainer fee (excluding chair retainer fees) to be achieved within three years from the initial date of Board service. In addition, the Compensation Committee approved a restriction on a Director’s right to sell stock during the initial three year period prior to the Director satisfying the required ownership. The restriction requires that the Director retain 50% of net shares (after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are disposed of to pay for taxes and acquisition). As of February 15, 2012, the current holdings for each Director is appropriate considering the current market value. Due to the current market value of the company’s common stock, three of the seven directors who are subject to the stock ownership guidelines are not at the required ownership levels and one additional director who has not satisfied the required ownership level is within his three-year time frame for compliance.</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his appointment as Interim Chair and CEO, Mr. Austrian stepped down as Lead Director and his service on all committees of the Board requiring director independence was suspended; but he continued to serve as a Director and a member of the Finance Committee. Mr. Austrian did not receive the cash compensation portion of the company’s annual retainer fee for Directors for the period he served as Interim Chair and CEO; however, he was eligible to participate in the equity portion of the 2011 annual retainer fee. Following his election to serve as the permanent Chair and CEO on May 23, 2011, Mr. Austrian continues to serve as a Director but has not served as a member of any committee. However, he is allowed to attend any and all meetings of the Board’s committees in his capacity as CEO. Mr. Austrian has not received any compensation for his service as a Director beginning May 23, 2011.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Legacy Program</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predecessor company, Viking Office Products, Inc., established a director legacy program in 1996. Under this program, any member of the Viking board of directors was permitted to nominate one or more charitable organizations to receive a future charitable contribution from Viking in the amount of $1,000,000. A portion of the gift is made at the time of the Director’s retirement and the remainder is to be paid at the time of the Director’s death. In order to fund these charitable gift payments, Viking took out a life insurance policy on each Director’s life. In 1998, the company acquired Viking, and now the company is the owner and beneficiary of the policies. Director participants and their estates have no legal right to the policy or its proceeds. The company uses all of the proceeds of the life insurance policies to fund the charitable gifts designated by the Director participant. All of the premiums of the life insurance policies have been paid in full and no further premiums are required. There are no additional costs related to the maintenance of this program. After the 2011 Annual Meeting, Mr. Austrian was the only remaining participant in this program as he was the only remaining member of the Board who was a member of the board of directors of Viking. Mr. Ault, who retired from the Board effective as of the 2011 Annual Meeting, had also been a participant in this program.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Fiscal Year 2011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(a)</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color w:val="auto"/>
                <w:w w:val="93"/>
              </w:rPr>
              <w:t>(b)</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color w:val="auto"/>
                <w:w w:val="93"/>
              </w:rPr>
              <w:t>(g)</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93"/>
              </w:rPr>
              <w:t>(h)</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w w:val="99"/>
              </w:rPr>
              <w:t>Change in Pension</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75"/>
              </w:rPr>
              <w:t>Fees</w:t>
            </w:r>
          </w:p>
        </w:tc>
        <w:tc>
          <w:tcPr>
            <w:tcW w:w="10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4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 NQ</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Earned</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(1)(2)(3)</w:t>
            </w:r>
          </w:p>
        </w:tc>
        <w:tc>
          <w:tcPr>
            <w:tcW w:w="102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Non-Equity</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Deferred</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580" w:type="dxa"/>
            <w:vAlign w:val="bottom"/>
            <w:gridSpan w:val="2"/>
          </w:tcPr>
          <w:p>
            <w:pPr>
              <w:jc w:val="center"/>
              <w:ind w:left="454"/>
              <w:spacing w:after="0" w:line="149" w:lineRule="exact"/>
              <w:rPr>
                <w:sz w:val="20"/>
                <w:szCs w:val="20"/>
                <w:color w:val="auto"/>
              </w:rPr>
            </w:pPr>
            <w:r>
              <w:rPr>
                <w:rFonts w:ascii="Arial" w:cs="Arial" w:eastAsia="Arial" w:hAnsi="Arial"/>
                <w:sz w:val="14"/>
                <w:szCs w:val="14"/>
                <w:b w:val="1"/>
                <w:bCs w:val="1"/>
                <w:color w:val="auto"/>
                <w:w w:val="87"/>
              </w:rPr>
              <w:t>or Paid in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96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3"/>
              </w:rPr>
              <w:t>(5)</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6"/>
              </w:rPr>
              <w:t>Cash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Awards ($)</w:t>
            </w: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Compensation ($)</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Earnings ($)</w:t>
            </w: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Compensation</w:t>
            </w: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right="256"/>
              <w:spacing w:after="0" w:line="142" w:lineRule="exact"/>
              <w:rPr>
                <w:sz w:val="20"/>
                <w:szCs w:val="20"/>
                <w:color w:val="auto"/>
              </w:rPr>
            </w:pPr>
            <w:r>
              <w:rPr>
                <w:rFonts w:ascii="Arial" w:cs="Arial" w:eastAsia="Arial" w:hAnsi="Arial"/>
                <w:sz w:val="14"/>
                <w:szCs w:val="14"/>
                <w:color w:val="auto"/>
                <w:w w:val="88"/>
              </w:rPr>
              <w:t>Total Other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Neil Austrian (6)</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$125,000</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125,000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Lee Ault (7)</w:t>
            </w:r>
          </w:p>
        </w:tc>
        <w:tc>
          <w:tcPr>
            <w:tcW w:w="1580" w:type="dxa"/>
            <w:vAlign w:val="bottom"/>
            <w:gridSpan w:val="2"/>
          </w:tcPr>
          <w:p>
            <w:pPr>
              <w:jc w:val="right"/>
              <w:ind w:right="99"/>
              <w:spacing w:after="0"/>
              <w:rPr>
                <w:sz w:val="20"/>
                <w:szCs w:val="20"/>
                <w:color w:val="auto"/>
              </w:rPr>
            </w:pPr>
            <w:r>
              <w:rPr>
                <w:rFonts w:ascii="Arial" w:cs="Arial" w:eastAsia="Arial" w:hAnsi="Arial"/>
                <w:sz w:val="18"/>
                <w:szCs w:val="18"/>
                <w:color w:val="auto"/>
              </w:rPr>
              <w:t>$ 18,750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Justin Bateman</w:t>
            </w:r>
          </w:p>
        </w:tc>
        <w:tc>
          <w:tcPr>
            <w:tcW w:w="15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$200,000</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David Bernauer (7)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18,750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30,000</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48,750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Thomas Colligan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75,000</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$150,000</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225,000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Marsha Evans</w:t>
            </w:r>
          </w:p>
        </w:tc>
        <w:tc>
          <w:tcPr>
            <w:tcW w:w="1580" w:type="dxa"/>
            <w:vAlign w:val="bottom"/>
            <w:gridSpan w:val="2"/>
          </w:tcPr>
          <w:p>
            <w:pPr>
              <w:jc w:val="right"/>
              <w:ind w:right="99"/>
              <w:spacing w:after="0"/>
              <w:rPr>
                <w:sz w:val="20"/>
                <w:szCs w:val="20"/>
                <w:color w:val="auto"/>
              </w:rPr>
            </w:pPr>
            <w:r>
              <w:rPr>
                <w:rFonts w:ascii="Arial" w:cs="Arial" w:eastAsia="Arial" w:hAnsi="Arial"/>
                <w:sz w:val="18"/>
                <w:szCs w:val="18"/>
                <w:color w:val="auto"/>
              </w:rPr>
              <w:t>$100,000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$145,000</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4,000</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86"/>
              </w:rPr>
              <w:t>249,000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David Fuente (7)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41,576</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$140,000</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57,690</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239,266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Brenda Gaines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75,000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$125,000</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Myra Hart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90,000</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$125,000</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30,000</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245,000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Scott Hedrick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75,000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$160,000</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20,000</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86"/>
              </w:rPr>
              <w:t>255,000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Kathleen Mason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75,000</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$125,000</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James Rubin</w:t>
            </w:r>
          </w:p>
        </w:tc>
        <w:tc>
          <w:tcPr>
            <w:tcW w:w="1580" w:type="dxa"/>
            <w:vAlign w:val="bottom"/>
            <w:gridSpan w:val="2"/>
          </w:tcPr>
          <w:p>
            <w:pPr>
              <w:jc w:val="right"/>
              <w:ind w:right="99"/>
              <w:spacing w:after="0"/>
              <w:rPr>
                <w:sz w:val="20"/>
                <w:szCs w:val="20"/>
                <w:color w:val="auto"/>
              </w:rPr>
            </w:pPr>
            <w:r>
              <w:rPr>
                <w:rFonts w:ascii="Arial" w:cs="Arial" w:eastAsia="Arial" w:hAnsi="Arial"/>
                <w:sz w:val="18"/>
                <w:szCs w:val="18"/>
                <w:color w:val="auto"/>
              </w:rPr>
              <w:t>$215,000</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86"/>
              </w:rPr>
              <w:t>215,000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Raymond Svider</w:t>
            </w:r>
          </w:p>
        </w:tc>
        <w:tc>
          <w:tcPr>
            <w:tcW w:w="15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$200,000</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39" w:lineRule="auto"/>
        <w:tabs>
          <w:tab w:leader="none" w:pos="46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The dollar amounts in column (c) reflect the aggregate grant date fair value of equity awards granted within the fiscal year in accordance with the FASB ASC Topic 718 for stock-based compensation. These amounts reflect the total grant date fair value for these awards, and do not correspond to the actual cash value that will be recognized by each of the Directors when received. See Note A of the consolidated financial statements in our Annual Report on regarding assumption underlying valuation of equity awards.</w:t>
      </w:r>
    </w:p>
    <w:p>
      <w:pPr>
        <w:sectPr>
          <w:pgSz w:w="11900" w:h="16838" w:orient="portrait"/>
          <w:cols w:equalWidth="0" w:num="1">
            <w:col w:w="11420"/>
          </w:cols>
          <w:pgMar w:left="240" w:top="459" w:right="2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“Equity Compensation Paid to Directors for Fiscal Year 2011” Table that follows represents the aggregate grant date fair value of awards of restricted stock granted to our Directors under the company’s 2007 LTIP in 2011. Annual awards are calculated by a dollar value that is then translated into restricted stock based on the closing stock price on the date of grant. The per share price of the restricted stock on the grant date of May 3, 2011 was $4.27. All restricted stock awards made to Directors were immediately vested.</w:t>
      </w:r>
    </w:p>
    <w:p>
      <w:pPr>
        <w:spacing w:after="0" w:line="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December 31, 2011, there were no outstanding shares of restricted stock held by any Directors other than Mr. Austrian who holds restricted shares in his capacity as Chair and CEO, and accordingly it is reported in the Grants of Plan Based Awards in Fiscal Year 2011 table. Beginning in 2007, all annual grants of equity to the Directors fully vest at the grant date. As of December 31, 2011, the following Directors held the following number of restricted stock units based on our common stock: Marsha Evans 59,439, Myra Hart 44,499, Scott Hedrick 52,696 and Thomas Colligan 35,129. Please see the table “Equity Compensation Paid to Directors for Fiscal Year 2011” that follows for all equity granted in 2011.</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2011, the following Directors held options to purchase the following number of shares of our common stock: Thomas Colligan 0, Marsha Evans 19,368, Brenda Gaines 116,310, Myra Hart 106,625, Scott Hedrick 71,402, and Kathleen Mason 56,013.</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Except for the Directors who are representatives of BC Partners, the Directors receive annual compensation of: (a) $75,000 in cash, and (b) the remainder of the annual retainer fee and chair fees, if applicable, in restricted stock as discussed further in the “Director Compensation” section. The BC Partners Directors received their 2011 compensation entirely in cash. In connection with the search for a new CEO, the Board formed a Search Committee made up of Ms. Evans (Chair), Ms. Hart, Mr. Rubin and Mr. Austrian. The Search Committee members, with the exception of Mr. Austrian, received cash compensation as follows: Ms. Evans $25,000; Ms. Hart $15,000; and Mr. Rubin $15,000, which was paid to BC Partners. These amounts are included in column (b).</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78</w:t>
      </w:r>
    </w:p>
    <w:p>
      <w:pPr>
        <w:sectPr>
          <w:pgSz w:w="11900" w:h="16838" w:orient="portrait"/>
          <w:cols w:equalWidth="0" w:num="2">
            <w:col w:w="140" w:space="320"/>
            <w:col w:w="10960"/>
          </w:cols>
          <w:pgMar w:left="240" w:top="459" w:right="2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Following his appointment as Interim Chair and CEO, Mr. Austrian stepped down as Lead Director and his service on all committees of the Board requiring director independence was suspended; however, he continued to serve as a Director and a member of the Finance Committee. Mr. Austrian did not receive the cash compensation portion of the company’s annual retainer fee for Directors for the period he served as Interim Chair and CEO; however, he was eligible to participate in the equity portion of the 2011 annual retainer fee in May 2011. Since Mr. Austrian’s annual equity grant for 2011 vested immediately upon its grant on May 3, 2011 following his re-election to the Board, he received the full amount of his 2011 equity compensation grant rather than a pro rata portion. Following his appointment as the Chair and CEO on May 23, 2011, Mr. Austrian continues to serve as a Director but has not served as a member of any committee. Mr. Austrian has not received any cash or equity compensation for his service as a Director since his appointment as Chair and CEO on May 23, 2011. The compensation received by Mr. Austrian as an NEO of the company is shown in the Summary Compensation Table and the Other Compensation Table for Fiscal Year 2011.</w:t>
      </w:r>
    </w:p>
    <w:p>
      <w:pPr>
        <w:spacing w:after="0" w:line="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Mssrs. Bernauer, Ault and Fuente are no longer Directors of the company. Mr. Bernauer and Mr. Ault each served through to the 2011 Annual Meeting on April 21, 2011 and did not seek re-election to the Board for the following year. Mr. Fuente resigned from the Board effective July 20, 2011.</w:t>
      </w:r>
    </w:p>
    <w:p>
      <w:pPr>
        <w:spacing w:after="0" w:line="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Other Compensation” includes the incremental cost to the company of charitable matching contributions made by the company on behalf of the Directors in the amount of $30,000 each for Mr. Bernauer and Ms. Hart, $4,000 for Ms. Evans, and $20,000 for Mr. Hedrick.</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Other Compensation” also includes for Mr. Fuente the cost of participating in our Executive Medical Plan ($57,690). Mr. Fuente is entitled to these benefits pursuant to the residual terms of the employment agreement that the company had with Mr. Fuente when he was the CEO of Office Depot. Mr. Fuente served as CEO of Office Depot from 1987 to 2000.</w:t>
      </w:r>
    </w:p>
    <w:p>
      <w:pPr>
        <w:spacing w:after="0" w:line="17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Equity Compensation Paid to Directors for Fiscal Year 2011</w:t>
      </w:r>
    </w:p>
    <w:p>
      <w:pPr>
        <w:spacing w:after="0" w:line="146"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940" w:type="dxa"/>
            <w:vAlign w:val="bottom"/>
          </w:tcPr>
          <w:p>
            <w:pPr>
              <w:ind w:left="2420"/>
              <w:spacing w:after="0"/>
              <w:rPr>
                <w:sz w:val="20"/>
                <w:szCs w:val="20"/>
                <w:color w:val="auto"/>
              </w:rPr>
            </w:pPr>
            <w:r>
              <w:rPr>
                <w:rFonts w:ascii="Arial" w:cs="Arial" w:eastAsia="Arial" w:hAnsi="Arial"/>
                <w:sz w:val="14"/>
                <w:szCs w:val="14"/>
                <w:color w:val="auto"/>
              </w:rPr>
              <w:t>(a)</w:t>
            </w:r>
          </w:p>
        </w:tc>
        <w:tc>
          <w:tcPr>
            <w:tcW w:w="2240" w:type="dxa"/>
            <w:vAlign w:val="bottom"/>
          </w:tcPr>
          <w:p>
            <w:pPr>
              <w:jc w:val="right"/>
              <w:ind w:right="376"/>
              <w:spacing w:after="0"/>
              <w:rPr>
                <w:sz w:val="20"/>
                <w:szCs w:val="20"/>
                <w:color w:val="auto"/>
              </w:rPr>
            </w:pPr>
            <w:r>
              <w:rPr>
                <w:rFonts w:ascii="Arial" w:cs="Arial" w:eastAsia="Arial" w:hAnsi="Arial"/>
                <w:sz w:val="14"/>
                <w:szCs w:val="14"/>
                <w:color w:val="auto"/>
              </w:rPr>
              <w:t>(b)</w:t>
            </w:r>
          </w:p>
        </w:tc>
        <w:tc>
          <w:tcPr>
            <w:tcW w:w="880" w:type="dxa"/>
            <w:vAlign w:val="bottom"/>
          </w:tcPr>
          <w:p>
            <w:pPr>
              <w:jc w:val="right"/>
              <w:ind w:right="278"/>
              <w:spacing w:after="0"/>
              <w:rPr>
                <w:sz w:val="20"/>
                <w:szCs w:val="20"/>
                <w:color w:val="auto"/>
              </w:rPr>
            </w:pPr>
            <w:r>
              <w:rPr>
                <w:rFonts w:ascii="Arial" w:cs="Arial" w:eastAsia="Arial" w:hAnsi="Arial"/>
                <w:sz w:val="14"/>
                <w:szCs w:val="14"/>
                <w:color w:val="auto"/>
              </w:rPr>
              <w:t>(c)</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(d)</w:t>
            </w:r>
          </w:p>
        </w:tc>
        <w:tc>
          <w:tcPr>
            <w:tcW w:w="1200" w:type="dxa"/>
            <w:vAlign w:val="bottom"/>
          </w:tcPr>
          <w:p>
            <w:pPr>
              <w:jc w:val="right"/>
              <w:ind w:right="436"/>
              <w:spacing w:after="0"/>
              <w:rPr>
                <w:sz w:val="20"/>
                <w:szCs w:val="20"/>
                <w:color w:val="auto"/>
              </w:rPr>
            </w:pPr>
            <w:r>
              <w:rPr>
                <w:rFonts w:ascii="Arial" w:cs="Arial" w:eastAsia="Arial" w:hAnsi="Arial"/>
                <w:sz w:val="14"/>
                <w:szCs w:val="14"/>
                <w:color w:val="auto"/>
              </w:rPr>
              <w:t>(e)</w:t>
            </w:r>
          </w:p>
        </w:tc>
        <w:tc>
          <w:tcPr>
            <w:tcW w:w="1100" w:type="dxa"/>
            <w:vAlign w:val="bottom"/>
          </w:tcPr>
          <w:p>
            <w:pPr>
              <w:jc w:val="center"/>
              <w:spacing w:after="0"/>
              <w:rPr>
                <w:sz w:val="20"/>
                <w:szCs w:val="20"/>
                <w:color w:val="auto"/>
              </w:rPr>
            </w:pPr>
            <w:r>
              <w:rPr>
                <w:rFonts w:ascii="Arial" w:cs="Arial" w:eastAsia="Arial" w:hAnsi="Arial"/>
                <w:sz w:val="14"/>
                <w:szCs w:val="14"/>
                <w:color w:val="auto"/>
              </w:rPr>
              <w:t>(f)</w:t>
            </w:r>
          </w:p>
        </w:tc>
        <w:tc>
          <w:tcPr>
            <w:tcW w:w="980" w:type="dxa"/>
            <w:vAlign w:val="bottom"/>
          </w:tcPr>
          <w:p>
            <w:pPr>
              <w:jc w:val="center"/>
              <w:ind w:left="20"/>
              <w:spacing w:after="0"/>
              <w:rPr>
                <w:sz w:val="20"/>
                <w:szCs w:val="20"/>
                <w:color w:val="auto"/>
              </w:rPr>
            </w:pPr>
            <w:r>
              <w:rPr>
                <w:rFonts w:ascii="Arial" w:cs="Arial" w:eastAsia="Arial" w:hAnsi="Arial"/>
                <w:sz w:val="14"/>
                <w:szCs w:val="14"/>
                <w:color w:val="auto"/>
                <w:w w:val="93"/>
              </w:rPr>
              <w:t>(g)</w:t>
            </w:r>
          </w:p>
        </w:tc>
      </w:tr>
      <w:tr>
        <w:trPr>
          <w:trHeight w:val="144"/>
        </w:trPr>
        <w:tc>
          <w:tcPr>
            <w:tcW w:w="3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2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980" w:type="dxa"/>
            <w:vAlign w:val="bottom"/>
          </w:tcPr>
          <w:p>
            <w:pPr>
              <w:spacing w:after="0"/>
              <w:rPr>
                <w:sz w:val="12"/>
                <w:szCs w:val="12"/>
                <w:color w:val="auto"/>
              </w:rPr>
            </w:pPr>
          </w:p>
        </w:tc>
      </w:tr>
      <w:tr>
        <w:trPr>
          <w:trHeight w:val="154"/>
        </w:trPr>
        <w:tc>
          <w:tcPr>
            <w:tcW w:w="3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Grant Date</w:t>
            </w:r>
          </w:p>
        </w:tc>
        <w:tc>
          <w:tcPr>
            <w:tcW w:w="12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Grant Date</w:t>
            </w:r>
          </w:p>
        </w:tc>
        <w:tc>
          <w:tcPr>
            <w:tcW w:w="980" w:type="dxa"/>
            <w:vAlign w:val="bottom"/>
          </w:tcPr>
          <w:p>
            <w:pPr>
              <w:jc w:val="center"/>
              <w:ind w:left="40"/>
              <w:spacing w:after="0" w:line="153" w:lineRule="exact"/>
              <w:rPr>
                <w:sz w:val="20"/>
                <w:szCs w:val="20"/>
                <w:color w:val="auto"/>
              </w:rPr>
            </w:pPr>
            <w:r>
              <w:rPr>
                <w:rFonts w:ascii="Arial" w:cs="Arial" w:eastAsia="Arial" w:hAnsi="Arial"/>
                <w:sz w:val="14"/>
                <w:szCs w:val="14"/>
                <w:b w:val="1"/>
                <w:bCs w:val="1"/>
                <w:color w:val="auto"/>
                <w:w w:val="88"/>
              </w:rPr>
              <w:t>Total Value</w:t>
            </w:r>
          </w:p>
        </w:tc>
      </w:tr>
      <w:tr>
        <w:trPr>
          <w:trHeight w:val="149"/>
        </w:trPr>
        <w:tc>
          <w:tcPr>
            <w:tcW w:w="3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1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980" w:type="dxa"/>
            <w:vAlign w:val="bottom"/>
          </w:tcPr>
          <w:p>
            <w:pPr>
              <w:jc w:val="center"/>
              <w:ind w:left="40"/>
              <w:spacing w:after="0" w:line="149" w:lineRule="exact"/>
              <w:rPr>
                <w:sz w:val="20"/>
                <w:szCs w:val="20"/>
                <w:color w:val="auto"/>
              </w:rPr>
            </w:pPr>
            <w:r>
              <w:rPr>
                <w:rFonts w:ascii="Arial" w:cs="Arial" w:eastAsia="Arial" w:hAnsi="Arial"/>
                <w:sz w:val="14"/>
                <w:szCs w:val="14"/>
                <w:b w:val="1"/>
                <w:bCs w:val="1"/>
                <w:color w:val="auto"/>
                <w:w w:val="90"/>
              </w:rPr>
              <w:t>of Equity</w:t>
            </w:r>
          </w:p>
        </w:tc>
      </w:tr>
      <w:tr>
        <w:trPr>
          <w:trHeight w:val="149"/>
        </w:trPr>
        <w:tc>
          <w:tcPr>
            <w:tcW w:w="3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Option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1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98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7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22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Grant Date</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Awards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w w:val="85"/>
              </w:rPr>
              <w:t>for 2011</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Neil Austrian </w:t>
            </w:r>
            <w:r>
              <w:rPr>
                <w:rFonts w:ascii="Arial" w:cs="Arial" w:eastAsia="Arial" w:hAnsi="Arial"/>
                <w:sz w:val="11"/>
                <w:szCs w:val="11"/>
                <w:color w:val="auto"/>
              </w:rPr>
              <w:t>(2)</w:t>
            </w:r>
          </w:p>
        </w:tc>
        <w:tc>
          <w:tcPr>
            <w:tcW w:w="22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29,274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$125,000</w:t>
            </w:r>
          </w:p>
        </w:tc>
        <w:tc>
          <w:tcPr>
            <w:tcW w:w="98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7"/>
              </w:rPr>
              <w:t>$125,000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Thomas Colligan</w:t>
            </w:r>
          </w:p>
        </w:tc>
        <w:tc>
          <w:tcPr>
            <w:tcW w:w="2240" w:type="dxa"/>
            <w:vAlign w:val="bottom"/>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35,129</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$150,000</w:t>
            </w:r>
          </w:p>
        </w:tc>
        <w:tc>
          <w:tcPr>
            <w:tcW w:w="980" w:type="dxa"/>
            <w:vAlign w:val="bottom"/>
          </w:tcPr>
          <w:p>
            <w:pPr>
              <w:jc w:val="center"/>
              <w:ind w:left="40"/>
              <w:spacing w:after="0"/>
              <w:rPr>
                <w:sz w:val="20"/>
                <w:szCs w:val="20"/>
                <w:color w:val="auto"/>
              </w:rPr>
            </w:pPr>
            <w:r>
              <w:rPr>
                <w:rFonts w:ascii="Arial" w:cs="Arial" w:eastAsia="Arial" w:hAnsi="Arial"/>
                <w:sz w:val="18"/>
                <w:szCs w:val="18"/>
                <w:color w:val="auto"/>
                <w:w w:val="87"/>
              </w:rPr>
              <w:t>$150,000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Marsha Evans</w:t>
            </w:r>
          </w:p>
        </w:tc>
        <w:tc>
          <w:tcPr>
            <w:tcW w:w="22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33,958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$145,000</w:t>
            </w:r>
          </w:p>
        </w:tc>
        <w:tc>
          <w:tcPr>
            <w:tcW w:w="98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7"/>
              </w:rPr>
              <w:t>$145,000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David Fuente</w:t>
            </w:r>
          </w:p>
        </w:tc>
        <w:tc>
          <w:tcPr>
            <w:tcW w:w="2240" w:type="dxa"/>
            <w:vAlign w:val="bottom"/>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32,787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$140,000</w:t>
            </w:r>
          </w:p>
        </w:tc>
        <w:tc>
          <w:tcPr>
            <w:tcW w:w="980" w:type="dxa"/>
            <w:vAlign w:val="bottom"/>
          </w:tcPr>
          <w:p>
            <w:pPr>
              <w:jc w:val="center"/>
              <w:ind w:left="40"/>
              <w:spacing w:after="0"/>
              <w:rPr>
                <w:sz w:val="20"/>
                <w:szCs w:val="20"/>
                <w:color w:val="auto"/>
              </w:rPr>
            </w:pPr>
            <w:r>
              <w:rPr>
                <w:rFonts w:ascii="Arial" w:cs="Arial" w:eastAsia="Arial" w:hAnsi="Arial"/>
                <w:sz w:val="18"/>
                <w:szCs w:val="18"/>
                <w:color w:val="auto"/>
                <w:w w:val="87"/>
              </w:rPr>
              <w:t>$140,000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Brenda Gaines</w:t>
            </w:r>
          </w:p>
        </w:tc>
        <w:tc>
          <w:tcPr>
            <w:tcW w:w="22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29,274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$125,000</w:t>
            </w:r>
          </w:p>
        </w:tc>
        <w:tc>
          <w:tcPr>
            <w:tcW w:w="98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7"/>
              </w:rPr>
              <w:t>$125,000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Myra Hart</w:t>
            </w:r>
          </w:p>
        </w:tc>
        <w:tc>
          <w:tcPr>
            <w:tcW w:w="2240" w:type="dxa"/>
            <w:vAlign w:val="bottom"/>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29,274</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$125,000</w:t>
            </w:r>
          </w:p>
        </w:tc>
        <w:tc>
          <w:tcPr>
            <w:tcW w:w="980" w:type="dxa"/>
            <w:vAlign w:val="bottom"/>
          </w:tcPr>
          <w:p>
            <w:pPr>
              <w:jc w:val="center"/>
              <w:ind w:left="40"/>
              <w:spacing w:after="0"/>
              <w:rPr>
                <w:sz w:val="20"/>
                <w:szCs w:val="20"/>
                <w:color w:val="auto"/>
              </w:rPr>
            </w:pPr>
            <w:r>
              <w:rPr>
                <w:rFonts w:ascii="Arial" w:cs="Arial" w:eastAsia="Arial" w:hAnsi="Arial"/>
                <w:sz w:val="18"/>
                <w:szCs w:val="18"/>
                <w:color w:val="auto"/>
                <w:w w:val="87"/>
              </w:rPr>
              <w:t>$125,000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Scott Hedrick</w:t>
            </w:r>
          </w:p>
        </w:tc>
        <w:tc>
          <w:tcPr>
            <w:tcW w:w="22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37,471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$160,000</w:t>
            </w:r>
          </w:p>
        </w:tc>
        <w:tc>
          <w:tcPr>
            <w:tcW w:w="98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87"/>
              </w:rPr>
              <w:t>$160,000</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Kathleen Mason</w:t>
            </w:r>
          </w:p>
        </w:tc>
        <w:tc>
          <w:tcPr>
            <w:tcW w:w="2240" w:type="dxa"/>
            <w:vAlign w:val="bottom"/>
          </w:tcPr>
          <w:p>
            <w:pPr>
              <w:jc w:val="right"/>
              <w:ind w:right="116"/>
              <w:spacing w:after="0"/>
              <w:rPr>
                <w:sz w:val="20"/>
                <w:szCs w:val="20"/>
                <w:color w:val="auto"/>
              </w:rPr>
            </w:pPr>
            <w:r>
              <w:rPr>
                <w:rFonts w:ascii="Arial" w:cs="Arial" w:eastAsia="Arial" w:hAnsi="Arial"/>
                <w:sz w:val="18"/>
                <w:szCs w:val="18"/>
                <w:color w:val="auto"/>
              </w:rPr>
              <w:t>5/3/11</w:t>
            </w: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29,274</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$125,000</w:t>
            </w:r>
          </w:p>
        </w:tc>
        <w:tc>
          <w:tcPr>
            <w:tcW w:w="980" w:type="dxa"/>
            <w:vAlign w:val="bottom"/>
          </w:tcPr>
          <w:p>
            <w:pPr>
              <w:jc w:val="center"/>
              <w:ind w:left="40"/>
              <w:spacing w:after="0"/>
              <w:rPr>
                <w:sz w:val="20"/>
                <w:szCs w:val="20"/>
                <w:color w:val="auto"/>
              </w:rPr>
            </w:pPr>
            <w:r>
              <w:rPr>
                <w:rFonts w:ascii="Arial" w:cs="Arial" w:eastAsia="Arial" w:hAnsi="Arial"/>
                <w:sz w:val="18"/>
                <w:szCs w:val="18"/>
                <w:color w:val="auto"/>
                <w:w w:val="87"/>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28" w:lineRule="auto"/>
        <w:tabs>
          <w:tab w:leader="none" w:pos="46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Amounts are determined using the fair market value of the company’s common stock on the grant date. See footnote 2 in the previous “Director Compensation Table for Fiscal Year 2011” for additional information.</w:t>
      </w:r>
    </w:p>
    <w:p>
      <w:pPr>
        <w:spacing w:after="0" w:line="76" w:lineRule="exact"/>
        <w:rPr>
          <w:rFonts w:ascii="Arial" w:cs="Arial" w:eastAsia="Arial" w:hAnsi="Arial"/>
          <w:sz w:val="22"/>
          <w:szCs w:val="22"/>
          <w:color w:val="auto"/>
          <w:vertAlign w:val="superscript"/>
        </w:rPr>
      </w:pPr>
    </w:p>
    <w:p>
      <w:pPr>
        <w:ind w:left="460" w:hanging="452"/>
        <w:spacing w:after="0" w:line="241" w:lineRule="auto"/>
        <w:tabs>
          <w:tab w:leader="none" w:pos="460" w:val="left"/>
        </w:tabs>
        <w:numPr>
          <w:ilvl w:val="0"/>
          <w:numId w:val="43"/>
        </w:numPr>
        <w:rPr>
          <w:rFonts w:ascii="Arial" w:cs="Arial" w:eastAsia="Arial" w:hAnsi="Arial"/>
          <w:sz w:val="21"/>
          <w:szCs w:val="21"/>
          <w:color w:val="auto"/>
          <w:vertAlign w:val="superscript"/>
        </w:rPr>
      </w:pPr>
      <w:r>
        <w:rPr>
          <w:rFonts w:ascii="Arial" w:cs="Arial" w:eastAsia="Arial" w:hAnsi="Arial"/>
          <w:sz w:val="17"/>
          <w:szCs w:val="17"/>
          <w:color w:val="auto"/>
        </w:rPr>
        <w:t>In addition to the equity awards reflected in this table which he received in his capacity as a director, Mr. Austrian also received equity awards in 2011 when he was appointed as Chair and CEO, which are included in the “Grants of Plan-Based Awards in Fiscal Year 2011” Table.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EXECUTIVE AGREEMENTS AND POTENTIAL PAYMENTS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TERMINATION OR CHANGE IN CONTROL</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has entered into Employment Agreements, Offer Letters, Retention Agreements and Change in Control Agreements with the NEOs. Material items addressed in these agreements include the term of the arrangement (including renewal provisions), the elements of the executive’s compensation, the amounts and benefits payable on various termination events (including a change in control of the company) and restrictions relating to non-competition, non-solicitation and confidentiality of information imposed on the executive management, all of which are described in more detail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Definitions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constitute “cause” for all respective agreements described in this section. Differences reflect various combinations of the time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agreements were reached, the level of the position and/or market conditions at the time of the initial hire: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center"/>
              <w:ind w:right="7"/>
              <w:spacing w:after="0"/>
              <w:rPr>
                <w:sz w:val="20"/>
                <w:szCs w:val="20"/>
                <w:color w:val="auto"/>
              </w:rPr>
            </w:pPr>
            <w:r>
              <w:rPr>
                <w:rFonts w:ascii="Arial" w:cs="Arial" w:eastAsia="Arial" w:hAnsi="Arial"/>
                <w:sz w:val="14"/>
                <w:szCs w:val="14"/>
                <w:b w:val="1"/>
                <w:bCs w:val="1"/>
                <w:color w:val="auto"/>
                <w:w w:val="85"/>
              </w:rPr>
              <w:t>Daisy</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Vanderlinde</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0"/>
              </w:rPr>
              <w:t>(Former</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Charles</w:t>
            </w:r>
          </w:p>
        </w:tc>
        <w:tc>
          <w:tcPr>
            <w:tcW w:w="116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5"/>
              </w:rPr>
              <w:t>Executive</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7"/>
              </w:rPr>
              <w:t>Brown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Vice</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4"/>
              </w:rPr>
              <w:t>(Former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President,</w:t>
            </w:r>
          </w:p>
        </w:tc>
      </w:tr>
      <w:tr>
        <w:trPr>
          <w:trHeight w:val="149"/>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Michael</w:t>
            </w: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5"/>
              </w:rPr>
              <w:t>President,</w:t>
            </w:r>
          </w:p>
        </w:tc>
        <w:tc>
          <w:tcPr>
            <w:tcW w:w="116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92"/>
              </w:rPr>
              <w:t>Human</w:t>
            </w:r>
          </w:p>
        </w:tc>
      </w:tr>
      <w:tr>
        <w:trPr>
          <w:trHeight w:val="149"/>
        </w:trPr>
        <w:tc>
          <w:tcPr>
            <w:tcW w:w="3080" w:type="dxa"/>
            <w:vAlign w:val="bottom"/>
          </w:tcPr>
          <w:p>
            <w:pPr>
              <w:spacing w:after="0"/>
              <w:rPr>
                <w:sz w:val="12"/>
                <w:szCs w:val="12"/>
                <w:color w:val="auto"/>
              </w:rPr>
            </w:pPr>
          </w:p>
        </w:tc>
        <w:tc>
          <w:tcPr>
            <w:tcW w:w="132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Neil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Newman(2)</w:t>
            </w:r>
          </w:p>
        </w:tc>
        <w:tc>
          <w:tcPr>
            <w:tcW w:w="100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Kevin</w:t>
            </w:r>
          </w:p>
        </w:tc>
        <w:tc>
          <w:tcPr>
            <w:tcW w:w="1080" w:type="dxa"/>
            <w:vAlign w:val="bottom"/>
          </w:tcPr>
          <w:p>
            <w:pPr>
              <w:jc w:val="right"/>
              <w:ind w:right="282"/>
              <w:spacing w:after="0" w:line="149" w:lineRule="exact"/>
              <w:rPr>
                <w:sz w:val="20"/>
                <w:szCs w:val="20"/>
                <w:color w:val="auto"/>
              </w:rPr>
            </w:pPr>
            <w:r>
              <w:rPr>
                <w:rFonts w:ascii="Arial" w:cs="Arial" w:eastAsia="Arial" w:hAnsi="Arial"/>
                <w:sz w:val="14"/>
                <w:szCs w:val="14"/>
                <w:b w:val="1"/>
                <w:bCs w:val="1"/>
                <w:color w:val="auto"/>
              </w:rPr>
              <w:t>Steven</w:t>
            </w:r>
          </w:p>
        </w:tc>
        <w:tc>
          <w:tcPr>
            <w:tcW w:w="13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Elisa D.</w:t>
            </w: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International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Resources)</w:t>
            </w:r>
          </w:p>
        </w:tc>
      </w:tr>
      <w:tr>
        <w:trPr>
          <w:trHeight w:val="16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Actions that Constitute “Cause”</w:t>
            </w: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87"/>
              </w:rPr>
              <w:t>Austrian</w:t>
            </w: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(3)</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Peters(2)</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Schmidt(2)</w:t>
            </w: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Garcia(2)</w:t>
            </w:r>
          </w:p>
        </w:tc>
        <w:tc>
          <w:tcPr>
            <w:tcW w:w="13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6"/>
              </w:rPr>
              <w:t>Division)(2)</w:t>
            </w:r>
          </w:p>
        </w:tc>
        <w:tc>
          <w:tcPr>
            <w:tcW w:w="116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93"/>
              </w:rPr>
              <w:t>(2)</w:t>
            </w:r>
          </w:p>
        </w:tc>
      </w:tr>
      <w:tr>
        <w:trPr>
          <w:trHeight w:val="201"/>
        </w:trPr>
        <w:tc>
          <w:tcPr>
            <w:tcW w:w="3080" w:type="dxa"/>
            <w:vAlign w:val="bottom"/>
          </w:tcPr>
          <w:p>
            <w:pPr>
              <w:spacing w:after="0" w:line="201" w:lineRule="exact"/>
              <w:rPr>
                <w:sz w:val="20"/>
                <w:szCs w:val="20"/>
                <w:color w:val="auto"/>
              </w:rPr>
            </w:pPr>
            <w:r>
              <w:rPr>
                <w:rFonts w:ascii="Arial" w:cs="Arial" w:eastAsia="Arial" w:hAnsi="Arial"/>
                <w:sz w:val="18"/>
                <w:szCs w:val="18"/>
                <w:color w:val="auto"/>
                <w:w w:val="98"/>
              </w:rPr>
              <w:t>Willful engagement in illegal conduct or</w:t>
            </w: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7"/>
              </w:rPr>
              <w:t>gross misconduct which is materially</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and demonstrably injurious to the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rPr>
              <w:t>company</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X(4)</w:t>
            </w:r>
          </w:p>
        </w:tc>
        <w:tc>
          <w:tcPr>
            <w:tcW w:w="1160" w:type="dxa"/>
            <w:vAlign w:val="bottom"/>
          </w:tcPr>
          <w:p>
            <w:pPr>
              <w:spacing w:after="0"/>
              <w:rPr>
                <w:sz w:val="19"/>
                <w:szCs w:val="19"/>
                <w:color w:val="auto"/>
              </w:rPr>
            </w:pP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w w:val="98"/>
              </w:rPr>
              <w:t>Engagement in illegal conduct or gross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misconduct in violation of the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w w:val="98"/>
              </w:rPr>
              <w:t>company’s Code of Ethical Behavior</w:t>
            </w:r>
          </w:p>
        </w:tc>
        <w:tc>
          <w:tcPr>
            <w:tcW w:w="1320" w:type="dxa"/>
            <w:vAlign w:val="bottom"/>
          </w:tcPr>
          <w:p>
            <w:pPr>
              <w:ind w:left="580"/>
              <w:spacing w:after="0"/>
              <w:rPr>
                <w:sz w:val="20"/>
                <w:szCs w:val="20"/>
                <w:color w:val="auto"/>
              </w:rPr>
            </w:pPr>
            <w:r>
              <w:rPr>
                <w:rFonts w:ascii="Arial" w:cs="Arial" w:eastAsia="Arial" w:hAnsi="Arial"/>
                <w:sz w:val="18"/>
                <w:szCs w:val="18"/>
                <w:color w:val="auto"/>
              </w:rPr>
              <w:t>X(6)</w:t>
            </w:r>
          </w:p>
        </w:tc>
        <w:tc>
          <w:tcPr>
            <w:tcW w:w="1040" w:type="dxa"/>
            <w:vAlign w:val="bottom"/>
          </w:tcPr>
          <w:p>
            <w:pPr>
              <w:ind w:left="740"/>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40"/>
              <w:spacing w:after="0"/>
              <w:rPr>
                <w:sz w:val="20"/>
                <w:szCs w:val="20"/>
                <w:color w:val="auto"/>
              </w:rPr>
            </w:pPr>
            <w:r>
              <w:rPr>
                <w:rFonts w:ascii="Arial" w:cs="Arial" w:eastAsia="Arial" w:hAnsi="Arial"/>
                <w:sz w:val="18"/>
                <w:szCs w:val="18"/>
                <w:color w:val="auto"/>
              </w:rPr>
              <w:t>X</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X</w:t>
            </w:r>
          </w:p>
        </w:tc>
        <w:tc>
          <w:tcPr>
            <w:tcW w:w="1380" w:type="dxa"/>
            <w:vAlign w:val="bottom"/>
          </w:tcPr>
          <w:p>
            <w:pPr>
              <w:ind w:left="640"/>
              <w:spacing w:after="0"/>
              <w:rPr>
                <w:sz w:val="20"/>
                <w:szCs w:val="20"/>
                <w:color w:val="auto"/>
              </w:rPr>
            </w:pPr>
            <w:r>
              <w:rPr>
                <w:rFonts w:ascii="Arial" w:cs="Arial" w:eastAsia="Arial" w:hAnsi="Arial"/>
                <w:sz w:val="18"/>
                <w:szCs w:val="18"/>
                <w:color w:val="auto"/>
              </w:rPr>
              <w:t>X(2)(8)</w:t>
            </w:r>
          </w:p>
        </w:tc>
        <w:tc>
          <w:tcPr>
            <w:tcW w:w="1360" w:type="dxa"/>
            <w:vAlign w:val="bottom"/>
          </w:tcPr>
          <w:p>
            <w:pPr>
              <w:ind w:left="820"/>
              <w:spacing w:after="0"/>
              <w:rPr>
                <w:sz w:val="20"/>
                <w:szCs w:val="20"/>
                <w:color w:val="auto"/>
              </w:rPr>
            </w:pPr>
            <w:r>
              <w:rPr>
                <w:rFonts w:ascii="Arial" w:cs="Arial" w:eastAsia="Arial" w:hAnsi="Arial"/>
                <w:sz w:val="18"/>
                <w:szCs w:val="18"/>
                <w:color w:val="auto"/>
              </w:rPr>
              <w:t>X(2)</w:t>
            </w:r>
          </w:p>
        </w:tc>
        <w:tc>
          <w:tcPr>
            <w:tcW w:w="1160" w:type="dxa"/>
            <w:vAlign w:val="bottom"/>
          </w:tcPr>
          <w:p>
            <w:pPr>
              <w:ind w:left="780"/>
              <w:spacing w:after="0"/>
              <w:rPr>
                <w:sz w:val="20"/>
                <w:szCs w:val="20"/>
                <w:color w:val="auto"/>
              </w:rPr>
            </w:pPr>
            <w:r>
              <w:rPr>
                <w:rFonts w:ascii="Arial" w:cs="Arial" w:eastAsia="Arial" w:hAnsi="Arial"/>
                <w:sz w:val="18"/>
                <w:szCs w:val="18"/>
                <w:color w:val="auto"/>
              </w:rPr>
              <w:t>X(2)</w:t>
            </w: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rPr>
              <w:t>Conviction of a felony or willful</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malfeasance or gross negligence in</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discharging executive’s duties,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resulting in material harm to the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rPr>
              <w:t>company</w:t>
            </w:r>
          </w:p>
        </w:tc>
        <w:tc>
          <w:tcPr>
            <w:tcW w:w="1320" w:type="dxa"/>
            <w:vAlign w:val="bottom"/>
          </w:tcPr>
          <w:p>
            <w:pPr>
              <w:ind w:left="580"/>
              <w:spacing w:after="0"/>
              <w:rPr>
                <w:sz w:val="20"/>
                <w:szCs w:val="20"/>
                <w:color w:val="auto"/>
              </w:rPr>
            </w:pPr>
            <w:r>
              <w:rPr>
                <w:rFonts w:ascii="Arial" w:cs="Arial" w:eastAsia="Arial" w:hAnsi="Arial"/>
                <w:sz w:val="18"/>
                <w:szCs w:val="18"/>
                <w:color w:val="auto"/>
              </w:rPr>
              <w:t>X(1)(5)</w:t>
            </w: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rPr>
              <w:t>Willful and material violation of a</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material provision of the company’s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written policies, including the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w w:val="98"/>
              </w:rPr>
              <w:t>company’s Code of Ethical Behavior</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X(7)</w:t>
            </w: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w w:val="99"/>
              </w:rPr>
              <w:t>Willful and continued failure to perform</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5"/>
              </w:rPr>
              <w:t>substantially executive’s duties (other</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9"/>
              </w:rPr>
              <w:t>than from incapacity due to physical</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or mental illness), after written</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8"/>
              </w:rPr>
              <w:t>demand for substantial performance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rPr>
              <w:t>by the Board</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ind w:left="640"/>
              <w:spacing w:after="0"/>
              <w:rPr>
                <w:sz w:val="20"/>
                <w:szCs w:val="20"/>
                <w:color w:val="auto"/>
              </w:rPr>
            </w:pPr>
            <w:r>
              <w:rPr>
                <w:rFonts w:ascii="Arial" w:cs="Arial" w:eastAsia="Arial" w:hAnsi="Arial"/>
                <w:sz w:val="18"/>
                <w:szCs w:val="18"/>
                <w:color w:val="auto"/>
              </w:rPr>
              <w:t>X(8)</w:t>
            </w: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w w:val="99"/>
              </w:rPr>
              <w:t>Willful and continued failure to perform</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5"/>
              </w:rPr>
              <w:t>substantially executive’s duties (other</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9"/>
              </w:rPr>
              <w:t>than from incapacity due to physical</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or mental illness), after written</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8"/>
              </w:rPr>
              <w:t>demand for substantial performance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rPr>
              <w:t>by the CEO</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ind w:left="640"/>
              <w:spacing w:after="0"/>
              <w:rPr>
                <w:sz w:val="20"/>
                <w:szCs w:val="20"/>
                <w:color w:val="auto"/>
              </w:rPr>
            </w:pPr>
            <w:r>
              <w:rPr>
                <w:rFonts w:ascii="Arial" w:cs="Arial" w:eastAsia="Arial" w:hAnsi="Arial"/>
                <w:sz w:val="18"/>
                <w:szCs w:val="18"/>
                <w:color w:val="auto"/>
              </w:rPr>
              <w:t>X(8)</w:t>
            </w:r>
          </w:p>
        </w:tc>
        <w:tc>
          <w:tcPr>
            <w:tcW w:w="1360" w:type="dxa"/>
            <w:vAlign w:val="bottom"/>
          </w:tcPr>
          <w:p>
            <w:pPr>
              <w:ind w:left="820"/>
              <w:spacing w:after="0"/>
              <w:rPr>
                <w:sz w:val="20"/>
                <w:szCs w:val="20"/>
                <w:color w:val="auto"/>
              </w:rPr>
            </w:pPr>
            <w:r>
              <w:rPr>
                <w:rFonts w:ascii="Arial" w:cs="Arial" w:eastAsia="Arial" w:hAnsi="Arial"/>
                <w:sz w:val="18"/>
                <w:szCs w:val="18"/>
                <w:color w:val="auto"/>
              </w:rPr>
              <w:t>X(4)</w:t>
            </w:r>
          </w:p>
        </w:tc>
        <w:tc>
          <w:tcPr>
            <w:tcW w:w="1160" w:type="dxa"/>
            <w:vAlign w:val="bottom"/>
          </w:tcPr>
          <w:p>
            <w:pPr>
              <w:spacing w:after="0"/>
              <w:rPr>
                <w:sz w:val="19"/>
                <w:szCs w:val="19"/>
                <w:color w:val="auto"/>
              </w:rPr>
            </w:pPr>
          </w:p>
        </w:tc>
      </w:tr>
      <w:tr>
        <w:trPr>
          <w:trHeight w:val="318"/>
        </w:trPr>
        <w:tc>
          <w:tcPr>
            <w:tcW w:w="3080" w:type="dxa"/>
            <w:vAlign w:val="bottom"/>
          </w:tcPr>
          <w:p>
            <w:pPr>
              <w:spacing w:after="0"/>
              <w:rPr>
                <w:sz w:val="20"/>
                <w:szCs w:val="20"/>
                <w:color w:val="auto"/>
              </w:rPr>
            </w:pPr>
            <w:r>
              <w:rPr>
                <w:rFonts w:ascii="Arial" w:cs="Arial" w:eastAsia="Arial" w:hAnsi="Arial"/>
                <w:sz w:val="18"/>
                <w:szCs w:val="18"/>
                <w:color w:val="auto"/>
              </w:rPr>
              <w:t>Continued failure to perform</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w w:val="97"/>
              </w:rPr>
              <w:t>substantially executive’s duties, after</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written demand for substantial</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80" w:type="dxa"/>
            <w:vAlign w:val="bottom"/>
          </w:tcPr>
          <w:p>
            <w:pPr>
              <w:ind w:left="220"/>
              <w:spacing w:after="0"/>
              <w:rPr>
                <w:sz w:val="20"/>
                <w:szCs w:val="20"/>
                <w:color w:val="auto"/>
              </w:rPr>
            </w:pPr>
            <w:r>
              <w:rPr>
                <w:rFonts w:ascii="Arial" w:cs="Arial" w:eastAsia="Arial" w:hAnsi="Arial"/>
                <w:sz w:val="18"/>
                <w:szCs w:val="18"/>
                <w:color w:val="auto"/>
              </w:rPr>
              <w:t>performance</w:t>
            </w:r>
          </w:p>
        </w:tc>
        <w:tc>
          <w:tcPr>
            <w:tcW w:w="1320" w:type="dxa"/>
            <w:vAlign w:val="bottom"/>
          </w:tcPr>
          <w:p>
            <w:pPr>
              <w:ind w:left="580"/>
              <w:spacing w:after="0"/>
              <w:rPr>
                <w:sz w:val="20"/>
                <w:szCs w:val="20"/>
                <w:color w:val="auto"/>
              </w:rPr>
            </w:pPr>
            <w:r>
              <w:rPr>
                <w:rFonts w:ascii="Arial" w:cs="Arial" w:eastAsia="Arial" w:hAnsi="Arial"/>
                <w:sz w:val="18"/>
                <w:szCs w:val="18"/>
                <w:color w:val="auto"/>
              </w:rPr>
              <w:t>X(6)</w:t>
            </w:r>
          </w:p>
        </w:tc>
        <w:tc>
          <w:tcPr>
            <w:tcW w:w="1040" w:type="dxa"/>
            <w:vAlign w:val="bottom"/>
          </w:tcPr>
          <w:p>
            <w:pPr>
              <w:ind w:left="740"/>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40"/>
              <w:spacing w:after="0"/>
              <w:rPr>
                <w:sz w:val="20"/>
                <w:szCs w:val="20"/>
                <w:color w:val="auto"/>
              </w:rPr>
            </w:pPr>
            <w:r>
              <w:rPr>
                <w:rFonts w:ascii="Arial" w:cs="Arial" w:eastAsia="Arial" w:hAnsi="Arial"/>
                <w:sz w:val="18"/>
                <w:szCs w:val="18"/>
                <w:color w:val="auto"/>
              </w:rPr>
              <w:t>X</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X</w:t>
            </w:r>
          </w:p>
        </w:tc>
        <w:tc>
          <w:tcPr>
            <w:tcW w:w="1380" w:type="dxa"/>
            <w:vAlign w:val="bottom"/>
          </w:tcPr>
          <w:p>
            <w:pPr>
              <w:ind w:left="640"/>
              <w:spacing w:after="0"/>
              <w:rPr>
                <w:sz w:val="20"/>
                <w:szCs w:val="20"/>
                <w:color w:val="auto"/>
              </w:rPr>
            </w:pPr>
            <w:r>
              <w:rPr>
                <w:rFonts w:ascii="Arial" w:cs="Arial" w:eastAsia="Arial" w:hAnsi="Arial"/>
                <w:sz w:val="18"/>
                <w:szCs w:val="18"/>
                <w:color w:val="auto"/>
              </w:rPr>
              <w:t>X(2)</w:t>
            </w:r>
          </w:p>
        </w:tc>
        <w:tc>
          <w:tcPr>
            <w:tcW w:w="1360" w:type="dxa"/>
            <w:vAlign w:val="bottom"/>
          </w:tcPr>
          <w:p>
            <w:pPr>
              <w:ind w:left="820"/>
              <w:spacing w:after="0"/>
              <w:rPr>
                <w:sz w:val="20"/>
                <w:szCs w:val="20"/>
                <w:color w:val="auto"/>
              </w:rPr>
            </w:pPr>
            <w:r>
              <w:rPr>
                <w:rFonts w:ascii="Arial" w:cs="Arial" w:eastAsia="Arial" w:hAnsi="Arial"/>
                <w:sz w:val="18"/>
                <w:szCs w:val="18"/>
                <w:color w:val="auto"/>
              </w:rPr>
              <w:t>X(2)</w:t>
            </w:r>
          </w:p>
        </w:tc>
        <w:tc>
          <w:tcPr>
            <w:tcW w:w="1160" w:type="dxa"/>
            <w:vAlign w:val="bottom"/>
          </w:tcPr>
          <w:p>
            <w:pPr>
              <w:ind w:left="780"/>
              <w:spacing w:after="0"/>
              <w:rPr>
                <w:sz w:val="20"/>
                <w:szCs w:val="20"/>
                <w:color w:val="auto"/>
              </w:rPr>
            </w:pPr>
            <w:r>
              <w:rPr>
                <w:rFonts w:ascii="Arial" w:cs="Arial" w:eastAsia="Arial" w:hAnsi="Arial"/>
                <w:sz w:val="18"/>
                <w:szCs w:val="18"/>
                <w:color w:val="auto"/>
              </w:rPr>
              <w:t>X(2)</w:t>
            </w:r>
          </w:p>
        </w:tc>
      </w:tr>
      <w:tr>
        <w:trPr>
          <w:trHeight w:val="365"/>
        </w:trPr>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560"/>
              <w:spacing w:after="0"/>
              <w:rPr>
                <w:sz w:val="20"/>
                <w:szCs w:val="20"/>
                <w:color w:val="auto"/>
              </w:rPr>
            </w:pPr>
            <w:r>
              <w:rPr>
                <w:rFonts w:ascii="Arial" w:cs="Arial" w:eastAsia="Arial" w:hAnsi="Arial"/>
                <w:sz w:val="18"/>
                <w:szCs w:val="18"/>
                <w:color w:val="auto"/>
              </w:rPr>
              <w:t>80</w:t>
            </w: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Interim Letter Agreement for Neil Austrian dated November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Change in Control Agreement dated in December,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Retention Agreement for Michael Newman dated November 4, 2010.</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set forth in the Executive Employment Agreement for Charles Brown as amended and restated effective December 31, 2008 and subsequently amended April 26, 2010.</w:t>
      </w:r>
    </w:p>
    <w:p>
      <w:pPr>
        <w:spacing w:after="0" w:line="51" w:lineRule="exact"/>
        <w:rPr>
          <w:sz w:val="20"/>
          <w:szCs w:val="20"/>
          <w:color w:val="auto"/>
        </w:rPr>
      </w:pPr>
    </w:p>
    <w:p>
      <w:pPr>
        <w:ind w:right="2360"/>
        <w:spacing w:after="0" w:line="344" w:lineRule="auto"/>
        <w:rPr>
          <w:sz w:val="20"/>
          <w:szCs w:val="20"/>
          <w:color w:val="auto"/>
        </w:rPr>
      </w:pPr>
      <w:r>
        <w:rPr>
          <w:rFonts w:ascii="Arial" w:cs="Arial" w:eastAsia="Arial" w:hAnsi="Arial"/>
          <w:sz w:val="18"/>
          <w:szCs w:val="18"/>
          <w:color w:val="auto"/>
        </w:rPr>
        <w:t>As set forth in the new Letter Agreement for Neil Austrian dated May 23, 2011, these actions are defined as “good cause.” As set forth in the Change in Control Agreement for Neil Austrian dated May 23, 2011.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set forth in the employment letter agreement for Daisy Vanderlinde dated September 8, 2005 as amended effective December 31,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Retention Agreement for Elisa D. Garcia dated November 2, 2010.</w:t>
      </w:r>
    </w:p>
    <w:p>
      <w:pPr>
        <w:spacing w:after="0" w:line="165"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line="339" w:lineRule="auto"/>
        <w:rPr>
          <w:sz w:val="20"/>
          <w:szCs w:val="20"/>
          <w:color w:val="auto"/>
        </w:rPr>
      </w:pPr>
      <w:r>
        <w:rPr>
          <w:rFonts w:ascii="Arial" w:cs="Arial" w:eastAsia="Arial" w:hAnsi="Arial"/>
          <w:sz w:val="16"/>
          <w:szCs w:val="16"/>
          <w:b w:val="1"/>
          <w:bCs w:val="1"/>
          <w:i w:val="1"/>
          <w:iCs w:val="1"/>
          <w:color w:val="auto"/>
        </w:rPr>
        <w:t>Good Reason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actions constitute “good reason” for all respective agreements described in this section. Differences reflect various combinations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at which agreements were reached, the level of the position and/or market conditions at the time of the initial hire: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center"/>
              <w:ind w:left="25"/>
              <w:spacing w:after="0"/>
              <w:rPr>
                <w:sz w:val="20"/>
                <w:szCs w:val="20"/>
                <w:color w:val="auto"/>
              </w:rPr>
            </w:pPr>
            <w:r>
              <w:rPr>
                <w:rFonts w:ascii="Arial" w:cs="Arial" w:eastAsia="Arial" w:hAnsi="Arial"/>
                <w:sz w:val="14"/>
                <w:szCs w:val="14"/>
                <w:b w:val="1"/>
                <w:bCs w:val="1"/>
                <w:color w:val="auto"/>
                <w:w w:val="85"/>
              </w:rPr>
              <w:t>Daisy</w:t>
            </w:r>
          </w:p>
        </w:tc>
      </w:tr>
      <w:tr>
        <w:trPr>
          <w:trHeight w:val="149"/>
        </w:trPr>
        <w:tc>
          <w:tcPr>
            <w:tcW w:w="3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5"/>
              </w:rPr>
              <w:t>Charles</w:t>
            </w:r>
          </w:p>
        </w:tc>
        <w:tc>
          <w:tcPr>
            <w:tcW w:w="540" w:type="dxa"/>
            <w:vAlign w:val="bottom"/>
          </w:tcPr>
          <w:p>
            <w:pPr>
              <w:spacing w:after="0"/>
              <w:rPr>
                <w:sz w:val="12"/>
                <w:szCs w:val="12"/>
                <w:color w:val="auto"/>
              </w:rPr>
            </w:pPr>
          </w:p>
        </w:tc>
        <w:tc>
          <w:tcPr>
            <w:tcW w:w="11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88"/>
              </w:rPr>
              <w:t>Vanderlinde(2)</w:t>
            </w:r>
          </w:p>
        </w:tc>
      </w:tr>
      <w:tr>
        <w:trPr>
          <w:trHeight w:val="149"/>
        </w:trPr>
        <w:tc>
          <w:tcPr>
            <w:tcW w:w="3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91"/>
              </w:rPr>
              <w:t>Brown</w:t>
            </w:r>
          </w:p>
        </w:tc>
        <w:tc>
          <w:tcPr>
            <w:tcW w:w="540" w:type="dxa"/>
            <w:vAlign w:val="bottom"/>
          </w:tcPr>
          <w:p>
            <w:pPr>
              <w:spacing w:after="0"/>
              <w:rPr>
                <w:sz w:val="12"/>
                <w:szCs w:val="12"/>
                <w:color w:val="auto"/>
              </w:rPr>
            </w:pPr>
          </w:p>
        </w:tc>
        <w:tc>
          <w:tcPr>
            <w:tcW w:w="11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4"/>
              </w:rPr>
              <w:t>(Former</w:t>
            </w:r>
          </w:p>
        </w:tc>
      </w:tr>
      <w:tr>
        <w:trPr>
          <w:trHeight w:val="149"/>
        </w:trPr>
        <w:tc>
          <w:tcPr>
            <w:tcW w:w="3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90"/>
              </w:rPr>
              <w:t>(Former</w:t>
            </w:r>
          </w:p>
        </w:tc>
        <w:tc>
          <w:tcPr>
            <w:tcW w:w="540" w:type="dxa"/>
            <w:vAlign w:val="bottom"/>
          </w:tcPr>
          <w:p>
            <w:pPr>
              <w:spacing w:after="0"/>
              <w:rPr>
                <w:sz w:val="12"/>
                <w:szCs w:val="12"/>
                <w:color w:val="auto"/>
              </w:rPr>
            </w:pPr>
          </w:p>
        </w:tc>
        <w:tc>
          <w:tcPr>
            <w:tcW w:w="118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85"/>
              </w:rPr>
              <w:t>Executive Vice</w:t>
            </w:r>
          </w:p>
        </w:tc>
      </w:tr>
      <w:tr>
        <w:trPr>
          <w:trHeight w:val="149"/>
        </w:trPr>
        <w:tc>
          <w:tcPr>
            <w:tcW w:w="3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President,</w:t>
            </w:r>
          </w:p>
        </w:tc>
        <w:tc>
          <w:tcPr>
            <w:tcW w:w="11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85"/>
              </w:rPr>
              <w:t>President,</w:t>
            </w:r>
          </w:p>
        </w:tc>
      </w:tr>
      <w:tr>
        <w:trPr>
          <w:trHeight w:val="149"/>
        </w:trPr>
        <w:tc>
          <w:tcPr>
            <w:tcW w:w="33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Neil</w:t>
            </w:r>
          </w:p>
        </w:tc>
        <w:tc>
          <w:tcPr>
            <w:tcW w:w="9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Michael</w:t>
            </w:r>
          </w:p>
        </w:tc>
        <w:tc>
          <w:tcPr>
            <w:tcW w:w="114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Kevin</w:t>
            </w:r>
          </w:p>
        </w:tc>
        <w:tc>
          <w:tcPr>
            <w:tcW w:w="112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Steven</w:t>
            </w:r>
          </w:p>
        </w:tc>
        <w:tc>
          <w:tcPr>
            <w:tcW w:w="100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Elisa D.</w:t>
            </w:r>
          </w:p>
        </w:tc>
        <w:tc>
          <w:tcPr>
            <w:tcW w:w="14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International</w:t>
            </w:r>
          </w:p>
        </w:tc>
        <w:tc>
          <w:tcPr>
            <w:tcW w:w="118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2"/>
              </w:rPr>
              <w:t>Human</w:t>
            </w:r>
          </w:p>
        </w:tc>
      </w:t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Actions that Constitute “Good Reason”</w:t>
            </w: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Austrian(1)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Newman(2)</w:t>
            </w: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Peters(2)</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Schmidt(2)</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Garcia(2)</w:t>
            </w:r>
          </w:p>
        </w:tc>
        <w:tc>
          <w:tcPr>
            <w:tcW w:w="88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87"/>
              </w:rPr>
              <w:t>Division)</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b w:val="1"/>
                <w:bCs w:val="1"/>
                <w:color w:val="auto"/>
                <w:w w:val="81"/>
              </w:rPr>
              <w:t>Resources)</w:t>
            </w:r>
          </w:p>
        </w:tc>
      </w:tr>
      <w:tr>
        <w:trPr>
          <w:trHeight w:val="201"/>
        </w:trPr>
        <w:tc>
          <w:tcPr>
            <w:tcW w:w="3320" w:type="dxa"/>
            <w:vAlign w:val="bottom"/>
          </w:tcPr>
          <w:p>
            <w:pPr>
              <w:spacing w:after="0" w:line="201" w:lineRule="exact"/>
              <w:rPr>
                <w:sz w:val="20"/>
                <w:szCs w:val="20"/>
                <w:color w:val="auto"/>
              </w:rPr>
            </w:pPr>
            <w:r>
              <w:rPr>
                <w:rFonts w:ascii="Arial" w:cs="Arial" w:eastAsia="Arial" w:hAnsi="Arial"/>
                <w:sz w:val="18"/>
                <w:szCs w:val="18"/>
                <w:color w:val="auto"/>
              </w:rPr>
              <w:t>Assignment of duties inconsistent with</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8"/>
              </w:rPr>
              <w:t>executive’s position, authority, duties or</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4"/>
              </w:rPr>
              <w:t>responsibilities or any other action by the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company that diminishes executive’s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position, authority, duties or</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responsibilities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X(3)</w:t>
            </w:r>
          </w:p>
        </w:tc>
        <w:tc>
          <w:tcPr>
            <w:tcW w:w="1180" w:type="dxa"/>
            <w:vAlign w:val="bottom"/>
          </w:tcPr>
          <w:p>
            <w:pPr>
              <w:spacing w:after="0"/>
              <w:rPr>
                <w:sz w:val="19"/>
                <w:szCs w:val="19"/>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w w:val="98"/>
              </w:rPr>
              <w:t>Failure by the company to comply with the</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8"/>
              </w:rPr>
              <w:t>compensation and benefit provisions of</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the agreement</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X(3)</w:t>
            </w:r>
          </w:p>
        </w:tc>
        <w:tc>
          <w:tcPr>
            <w:tcW w:w="1180" w:type="dxa"/>
            <w:vAlign w:val="bottom"/>
          </w:tcPr>
          <w:p>
            <w:pPr>
              <w:spacing w:after="0"/>
              <w:rPr>
                <w:sz w:val="19"/>
                <w:szCs w:val="19"/>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w w:val="93"/>
              </w:rPr>
              <w:t>Requirement that executive be based at any</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location not within vicinity of the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company’s headquarters</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X(3)</w:t>
            </w:r>
          </w:p>
        </w:tc>
        <w:tc>
          <w:tcPr>
            <w:tcW w:w="1180" w:type="dxa"/>
            <w:vAlign w:val="bottom"/>
          </w:tcPr>
          <w:p>
            <w:pPr>
              <w:spacing w:after="0"/>
              <w:rPr>
                <w:sz w:val="19"/>
                <w:szCs w:val="19"/>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rPr>
              <w:t>Purported termination of executive’s</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employment other than as expressly</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permitted by the agreement</w:t>
            </w: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X(3)</w:t>
            </w:r>
          </w:p>
        </w:tc>
        <w:tc>
          <w:tcPr>
            <w:tcW w:w="1180" w:type="dxa"/>
            <w:vAlign w:val="bottom"/>
          </w:tcPr>
          <w:p>
            <w:pPr>
              <w:spacing w:after="0"/>
              <w:rPr>
                <w:sz w:val="19"/>
                <w:szCs w:val="19"/>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rPr>
              <w:t>Material diminution of executive’s</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authorities, duties or responsibilities</w:t>
            </w:r>
          </w:p>
        </w:tc>
        <w:tc>
          <w:tcPr>
            <w:tcW w:w="1280" w:type="dxa"/>
            <w:vAlign w:val="bottom"/>
          </w:tcPr>
          <w:p>
            <w:pPr>
              <w:ind w:left="740"/>
              <w:spacing w:after="0"/>
              <w:rPr>
                <w:sz w:val="20"/>
                <w:szCs w:val="20"/>
                <w:color w:val="auto"/>
              </w:rPr>
            </w:pPr>
            <w:r>
              <w:rPr>
                <w:rFonts w:ascii="Arial" w:cs="Arial" w:eastAsia="Arial" w:hAnsi="Arial"/>
                <w:sz w:val="18"/>
                <w:szCs w:val="18"/>
                <w:color w:val="auto"/>
              </w:rPr>
              <w:t>X(4)</w:t>
            </w:r>
          </w:p>
        </w:tc>
        <w:tc>
          <w:tcPr>
            <w:tcW w:w="960" w:type="dxa"/>
            <w:vAlign w:val="bottom"/>
          </w:tcPr>
          <w:p>
            <w:pPr>
              <w:jc w:val="right"/>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X</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X(2)</w:t>
            </w:r>
          </w:p>
        </w:tc>
        <w:tc>
          <w:tcPr>
            <w:tcW w:w="1180" w:type="dxa"/>
            <w:vAlign w:val="bottom"/>
          </w:tcPr>
          <w:p>
            <w:pPr>
              <w:ind w:left="960"/>
              <w:spacing w:after="0"/>
              <w:rPr>
                <w:sz w:val="20"/>
                <w:szCs w:val="20"/>
                <w:color w:val="auto"/>
              </w:rPr>
            </w:pPr>
            <w:r>
              <w:rPr>
                <w:rFonts w:ascii="Arial" w:cs="Arial" w:eastAsia="Arial" w:hAnsi="Arial"/>
                <w:sz w:val="18"/>
                <w:szCs w:val="18"/>
                <w:color w:val="auto"/>
              </w:rPr>
              <w:t>X</w:t>
            </w: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w w:val="99"/>
              </w:rPr>
              <w:t>Material failure by the company to comply</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with the compensation and benefit</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provisions in the agreement</w:t>
            </w:r>
          </w:p>
        </w:tc>
        <w:tc>
          <w:tcPr>
            <w:tcW w:w="1280" w:type="dxa"/>
            <w:vAlign w:val="bottom"/>
          </w:tcPr>
          <w:p>
            <w:pPr>
              <w:ind w:left="740"/>
              <w:spacing w:after="0"/>
              <w:rPr>
                <w:sz w:val="20"/>
                <w:szCs w:val="20"/>
                <w:color w:val="auto"/>
              </w:rPr>
            </w:pPr>
            <w:r>
              <w:rPr>
                <w:rFonts w:ascii="Arial" w:cs="Arial" w:eastAsia="Arial" w:hAnsi="Arial"/>
                <w:sz w:val="18"/>
                <w:szCs w:val="18"/>
                <w:color w:val="auto"/>
              </w:rPr>
              <w:t>X(4)</w:t>
            </w:r>
          </w:p>
        </w:tc>
        <w:tc>
          <w:tcPr>
            <w:tcW w:w="960" w:type="dxa"/>
            <w:vAlign w:val="bottom"/>
          </w:tcPr>
          <w:p>
            <w:pPr>
              <w:jc w:val="right"/>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X</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X(2)</w:t>
            </w:r>
          </w:p>
        </w:tc>
        <w:tc>
          <w:tcPr>
            <w:tcW w:w="1180" w:type="dxa"/>
            <w:vAlign w:val="bottom"/>
          </w:tcPr>
          <w:p>
            <w:pPr>
              <w:ind w:left="960"/>
              <w:spacing w:after="0"/>
              <w:rPr>
                <w:sz w:val="20"/>
                <w:szCs w:val="20"/>
                <w:color w:val="auto"/>
              </w:rPr>
            </w:pPr>
            <w:r>
              <w:rPr>
                <w:rFonts w:ascii="Arial" w:cs="Arial" w:eastAsia="Arial" w:hAnsi="Arial"/>
                <w:sz w:val="18"/>
                <w:szCs w:val="18"/>
                <w:color w:val="auto"/>
              </w:rPr>
              <w:t>X</w:t>
            </w: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w w:val="99"/>
              </w:rPr>
              <w:t>Material change in the office or location at</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which executive is based or requiring</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5"/>
              </w:rPr>
              <w:t>executive to travel on company business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to a substantially greater extent than</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5"/>
              </w:rPr>
              <w:t>required immediately prior to the change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in control effective date</w:t>
            </w:r>
          </w:p>
        </w:tc>
        <w:tc>
          <w:tcPr>
            <w:tcW w:w="1280" w:type="dxa"/>
            <w:vAlign w:val="bottom"/>
          </w:tcPr>
          <w:p>
            <w:pPr>
              <w:ind w:left="740"/>
              <w:spacing w:after="0"/>
              <w:rPr>
                <w:sz w:val="20"/>
                <w:szCs w:val="20"/>
                <w:color w:val="auto"/>
              </w:rPr>
            </w:pPr>
            <w:r>
              <w:rPr>
                <w:rFonts w:ascii="Arial" w:cs="Arial" w:eastAsia="Arial" w:hAnsi="Arial"/>
                <w:sz w:val="18"/>
                <w:szCs w:val="18"/>
                <w:color w:val="auto"/>
              </w:rPr>
              <w:t>X(4)</w:t>
            </w:r>
          </w:p>
        </w:tc>
        <w:tc>
          <w:tcPr>
            <w:tcW w:w="960" w:type="dxa"/>
            <w:vAlign w:val="bottom"/>
          </w:tcPr>
          <w:p>
            <w:pPr>
              <w:jc w:val="right"/>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X</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X(2)</w:t>
            </w:r>
          </w:p>
        </w:tc>
        <w:tc>
          <w:tcPr>
            <w:tcW w:w="1180" w:type="dxa"/>
            <w:vAlign w:val="bottom"/>
          </w:tcPr>
          <w:p>
            <w:pPr>
              <w:ind w:left="960"/>
              <w:spacing w:after="0"/>
              <w:rPr>
                <w:sz w:val="20"/>
                <w:szCs w:val="20"/>
                <w:color w:val="auto"/>
              </w:rPr>
            </w:pPr>
            <w:r>
              <w:rPr>
                <w:rFonts w:ascii="Arial" w:cs="Arial" w:eastAsia="Arial" w:hAnsi="Arial"/>
                <w:sz w:val="18"/>
                <w:szCs w:val="18"/>
                <w:color w:val="auto"/>
              </w:rPr>
              <w:t>X</w:t>
            </w: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w w:val="99"/>
              </w:rPr>
              <w:t>Material failure by the company to require</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w w:val="94"/>
              </w:rPr>
              <w:t>the company’s successor to assume and</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perform the agreement</w:t>
            </w:r>
          </w:p>
        </w:tc>
        <w:tc>
          <w:tcPr>
            <w:tcW w:w="1280" w:type="dxa"/>
            <w:vAlign w:val="bottom"/>
          </w:tcPr>
          <w:p>
            <w:pPr>
              <w:ind w:left="740"/>
              <w:spacing w:after="0"/>
              <w:rPr>
                <w:sz w:val="20"/>
                <w:szCs w:val="20"/>
                <w:color w:val="auto"/>
              </w:rPr>
            </w:pPr>
            <w:r>
              <w:rPr>
                <w:rFonts w:ascii="Arial" w:cs="Arial" w:eastAsia="Arial" w:hAnsi="Arial"/>
                <w:sz w:val="18"/>
                <w:szCs w:val="18"/>
                <w:color w:val="auto"/>
              </w:rPr>
              <w:t>X(4)</w:t>
            </w:r>
          </w:p>
        </w:tc>
        <w:tc>
          <w:tcPr>
            <w:tcW w:w="960" w:type="dxa"/>
            <w:vAlign w:val="bottom"/>
          </w:tcPr>
          <w:p>
            <w:pPr>
              <w:jc w:val="right"/>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X</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X(2)</w:t>
            </w:r>
          </w:p>
        </w:tc>
        <w:tc>
          <w:tcPr>
            <w:tcW w:w="1180" w:type="dxa"/>
            <w:vAlign w:val="bottom"/>
          </w:tcPr>
          <w:p>
            <w:pPr>
              <w:ind w:left="960"/>
              <w:spacing w:after="0"/>
              <w:rPr>
                <w:sz w:val="20"/>
                <w:szCs w:val="20"/>
                <w:color w:val="auto"/>
              </w:rPr>
            </w:pPr>
            <w:r>
              <w:rPr>
                <w:rFonts w:ascii="Arial" w:cs="Arial" w:eastAsia="Arial" w:hAnsi="Arial"/>
                <w:sz w:val="18"/>
                <w:szCs w:val="18"/>
                <w:color w:val="auto"/>
              </w:rPr>
              <w:t>X</w:t>
            </w:r>
          </w:p>
        </w:tc>
      </w:tr>
      <w:tr>
        <w:trPr>
          <w:trHeight w:val="365"/>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ind w:right="818"/>
              <w:spacing w:after="0"/>
              <w:rPr>
                <w:sz w:val="20"/>
                <w:szCs w:val="20"/>
                <w:color w:val="auto"/>
              </w:rPr>
            </w:pPr>
            <w:r>
              <w:rPr>
                <w:rFonts w:ascii="Arial" w:cs="Arial" w:eastAsia="Arial" w:hAnsi="Arial"/>
                <w:sz w:val="18"/>
                <w:szCs w:val="18"/>
                <w:color w:val="auto"/>
              </w:rPr>
              <w:t>81</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Interim Letter Agreement for Neil Austrian dated November 2, 2010 and the new Letter Agreement for Neil Austrian dated May 23, 2011 do not include a reference to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-313055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Change in Control Agreement dated in December, 2010.</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set forth in the Executive Employment Agreement for Charles Brown as amended and restated effective December 31, 2008 and subsequently amended April 26, 2010.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Change in Control Agreement for Neil Austrian dated May 23, 2011</w:t>
      </w:r>
    </w:p>
    <w:p>
      <w:pPr>
        <w:spacing w:after="0" w:line="165"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firstLine="456"/>
        <w:spacing w:after="0" w:line="339"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conditions constitute a “change in control” for all respective agreements described in this section. Differences reflect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combinations of the time at which agreements were reached, the level of the position and/or market conditions at the time of the initial hire: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jc w:val="center"/>
              <w:ind w:left="85"/>
              <w:spacing w:after="0"/>
              <w:rPr>
                <w:sz w:val="20"/>
                <w:szCs w:val="20"/>
                <w:color w:val="auto"/>
              </w:rPr>
            </w:pPr>
            <w:r>
              <w:rPr>
                <w:rFonts w:ascii="Arial" w:cs="Arial" w:eastAsia="Arial" w:hAnsi="Arial"/>
                <w:sz w:val="14"/>
                <w:szCs w:val="14"/>
                <w:b w:val="1"/>
                <w:bCs w:val="1"/>
                <w:color w:val="auto"/>
                <w:w w:val="85"/>
              </w:rPr>
              <w:t>Daisy</w:t>
            </w:r>
          </w:p>
        </w:tc>
      </w:tr>
      <w:tr>
        <w:trPr>
          <w:trHeight w:val="149"/>
        </w:trPr>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Charles</w:t>
            </w:r>
          </w:p>
        </w:tc>
        <w:tc>
          <w:tcPr>
            <w:tcW w:w="1240" w:type="dxa"/>
            <w:vAlign w:val="bottom"/>
          </w:tcPr>
          <w:p>
            <w:pPr>
              <w:jc w:val="center"/>
              <w:ind w:left="105"/>
              <w:spacing w:after="0" w:line="149" w:lineRule="exact"/>
              <w:rPr>
                <w:sz w:val="20"/>
                <w:szCs w:val="20"/>
                <w:color w:val="auto"/>
              </w:rPr>
            </w:pPr>
            <w:r>
              <w:rPr>
                <w:rFonts w:ascii="Arial" w:cs="Arial" w:eastAsia="Arial" w:hAnsi="Arial"/>
                <w:sz w:val="14"/>
                <w:szCs w:val="14"/>
                <w:b w:val="1"/>
                <w:bCs w:val="1"/>
                <w:color w:val="auto"/>
                <w:w w:val="88"/>
              </w:rPr>
              <w:t>Vanderlinde(3)</w:t>
            </w:r>
          </w:p>
        </w:tc>
      </w:tr>
      <w:tr>
        <w:trPr>
          <w:trHeight w:val="149"/>
        </w:trPr>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Brown(2)(3)</w:t>
            </w:r>
          </w:p>
        </w:tc>
        <w:tc>
          <w:tcPr>
            <w:tcW w:w="1240" w:type="dxa"/>
            <w:vAlign w:val="bottom"/>
          </w:tcPr>
          <w:p>
            <w:pPr>
              <w:jc w:val="center"/>
              <w:ind w:left="105"/>
              <w:spacing w:after="0" w:line="149" w:lineRule="exact"/>
              <w:rPr>
                <w:sz w:val="20"/>
                <w:szCs w:val="20"/>
                <w:color w:val="auto"/>
              </w:rPr>
            </w:pPr>
            <w:r>
              <w:rPr>
                <w:rFonts w:ascii="Arial" w:cs="Arial" w:eastAsia="Arial" w:hAnsi="Arial"/>
                <w:sz w:val="14"/>
                <w:szCs w:val="14"/>
                <w:b w:val="1"/>
                <w:bCs w:val="1"/>
                <w:color w:val="auto"/>
                <w:w w:val="94"/>
              </w:rPr>
              <w:t>(Former</w:t>
            </w:r>
          </w:p>
        </w:tc>
      </w:tr>
      <w:tr>
        <w:trPr>
          <w:trHeight w:val="149"/>
        </w:trPr>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(Former</w:t>
            </w:r>
          </w:p>
        </w:tc>
        <w:tc>
          <w:tcPr>
            <w:tcW w:w="1240" w:type="dxa"/>
            <w:vAlign w:val="bottom"/>
          </w:tcPr>
          <w:p>
            <w:pPr>
              <w:jc w:val="center"/>
              <w:ind w:left="85"/>
              <w:spacing w:after="0" w:line="149" w:lineRule="exact"/>
              <w:rPr>
                <w:sz w:val="20"/>
                <w:szCs w:val="20"/>
                <w:color w:val="auto"/>
              </w:rPr>
            </w:pPr>
            <w:r>
              <w:rPr>
                <w:rFonts w:ascii="Arial" w:cs="Arial" w:eastAsia="Arial" w:hAnsi="Arial"/>
                <w:sz w:val="14"/>
                <w:szCs w:val="14"/>
                <w:b w:val="1"/>
                <w:bCs w:val="1"/>
                <w:color w:val="auto"/>
                <w:w w:val="85"/>
              </w:rPr>
              <w:t>Executive Vice</w:t>
            </w:r>
          </w:p>
        </w:tc>
      </w:tr>
      <w:tr>
        <w:trPr>
          <w:trHeight w:val="149"/>
        </w:trPr>
        <w:tc>
          <w:tcPr>
            <w:tcW w:w="3060" w:type="dxa"/>
            <w:vAlign w:val="bottom"/>
          </w:tcPr>
          <w:p>
            <w:pPr>
              <w:spacing w:after="0"/>
              <w:rPr>
                <w:sz w:val="12"/>
                <w:szCs w:val="12"/>
                <w:color w:val="auto"/>
              </w:rPr>
            </w:pPr>
          </w:p>
        </w:tc>
        <w:tc>
          <w:tcPr>
            <w:tcW w:w="11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Neil</w:t>
            </w:r>
          </w:p>
        </w:tc>
        <w:tc>
          <w:tcPr>
            <w:tcW w:w="11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Michael</w:t>
            </w: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Kevin</w:t>
            </w:r>
          </w:p>
        </w:tc>
        <w:tc>
          <w:tcPr>
            <w:tcW w:w="11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Steven</w:t>
            </w: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President,</w:t>
            </w:r>
          </w:p>
        </w:tc>
        <w:tc>
          <w:tcPr>
            <w:tcW w:w="1240" w:type="dxa"/>
            <w:vAlign w:val="bottom"/>
          </w:tcPr>
          <w:p>
            <w:pPr>
              <w:jc w:val="center"/>
              <w:ind w:left="105"/>
              <w:spacing w:after="0" w:line="149" w:lineRule="exact"/>
              <w:rPr>
                <w:sz w:val="20"/>
                <w:szCs w:val="20"/>
                <w:color w:val="auto"/>
              </w:rPr>
            </w:pPr>
            <w:r>
              <w:rPr>
                <w:rFonts w:ascii="Arial" w:cs="Arial" w:eastAsia="Arial" w:hAnsi="Arial"/>
                <w:sz w:val="14"/>
                <w:szCs w:val="14"/>
                <w:b w:val="1"/>
                <w:bCs w:val="1"/>
                <w:color w:val="auto"/>
                <w:w w:val="85"/>
              </w:rPr>
              <w:t>President,</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b w:val="1"/>
                <w:bCs w:val="1"/>
                <w:color w:val="auto"/>
              </w:rPr>
              <w:t>Actions that Constitute “Change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Austrian(1)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Newman(2)</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Peters(2)</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Schmidt(2)</w:t>
            </w:r>
          </w:p>
        </w:tc>
        <w:tc>
          <w:tcPr>
            <w:tcW w:w="114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Elisa 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International</w:t>
            </w:r>
          </w:p>
        </w:tc>
        <w:tc>
          <w:tcPr>
            <w:tcW w:w="1240" w:type="dxa"/>
            <w:vAlign w:val="bottom"/>
          </w:tcPr>
          <w:p>
            <w:pPr>
              <w:jc w:val="center"/>
              <w:ind w:left="85"/>
              <w:spacing w:after="0" w:line="149" w:lineRule="exact"/>
              <w:rPr>
                <w:sz w:val="20"/>
                <w:szCs w:val="20"/>
                <w:color w:val="auto"/>
              </w:rPr>
            </w:pPr>
            <w:r>
              <w:rPr>
                <w:rFonts w:ascii="Arial" w:cs="Arial" w:eastAsia="Arial" w:hAnsi="Arial"/>
                <w:sz w:val="14"/>
                <w:szCs w:val="14"/>
                <w:b w:val="1"/>
                <w:bCs w:val="1"/>
                <w:color w:val="auto"/>
                <w:w w:val="92"/>
              </w:rPr>
              <w:t>Human</w:t>
            </w:r>
          </w:p>
        </w:tc>
      </w:tr>
      <w:tr>
        <w:trPr>
          <w:trHeight w:val="161"/>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Control”</w:t>
            </w: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(4)</w:t>
            </w: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(3)</w:t>
            </w: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(3)</w:t>
            </w: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(3)</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Garcia (3)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Division)</w:t>
            </w:r>
          </w:p>
        </w:tc>
        <w:tc>
          <w:tcPr>
            <w:tcW w:w="124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w w:val="81"/>
              </w:rPr>
              <w:t>Resources)</w:t>
            </w:r>
          </w:p>
        </w:tc>
      </w:tr>
      <w:tr>
        <w:trPr>
          <w:trHeight w:val="201"/>
        </w:trPr>
        <w:tc>
          <w:tcPr>
            <w:tcW w:w="3060" w:type="dxa"/>
            <w:vAlign w:val="bottom"/>
          </w:tcPr>
          <w:p>
            <w:pPr>
              <w:spacing w:after="0" w:line="201" w:lineRule="exact"/>
              <w:rPr>
                <w:sz w:val="20"/>
                <w:szCs w:val="20"/>
                <w:color w:val="auto"/>
              </w:rPr>
            </w:pPr>
            <w:r>
              <w:rPr>
                <w:rFonts w:ascii="Arial" w:cs="Arial" w:eastAsia="Arial" w:hAnsi="Arial"/>
                <w:sz w:val="18"/>
                <w:szCs w:val="18"/>
                <w:color w:val="auto"/>
              </w:rPr>
              <w:t>If any person or group (other than an</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exempt person) becomes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beneficial owner of 30% or more of</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the combined voting power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outstanding securities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7"/>
              </w:rPr>
              <w:t>company without the approval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company’s Board of Directors (2)</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60" w:type="dxa"/>
            <w:vAlign w:val="bottom"/>
          </w:tcPr>
          <w:p>
            <w:pPr>
              <w:ind w:left="820"/>
              <w:spacing w:after="0"/>
              <w:rPr>
                <w:sz w:val="20"/>
                <w:szCs w:val="20"/>
                <w:color w:val="auto"/>
              </w:rPr>
            </w:pPr>
            <w:r>
              <w:rPr>
                <w:rFonts w:ascii="Arial" w:cs="Arial" w:eastAsia="Arial" w:hAnsi="Arial"/>
                <w:sz w:val="18"/>
                <w:szCs w:val="18"/>
                <w:color w:val="auto"/>
              </w:rPr>
              <w:t>X</w:t>
            </w:r>
          </w:p>
        </w:tc>
        <w:tc>
          <w:tcPr>
            <w:tcW w:w="1120" w:type="dxa"/>
            <w:vAlign w:val="bottom"/>
          </w:tcPr>
          <w:p>
            <w:pPr>
              <w:ind w:left="720"/>
              <w:spacing w:after="0"/>
              <w:rPr>
                <w:sz w:val="20"/>
                <w:szCs w:val="20"/>
                <w:color w:val="auto"/>
              </w:rPr>
            </w:pPr>
            <w:r>
              <w:rPr>
                <w:rFonts w:ascii="Arial" w:cs="Arial" w:eastAsia="Arial" w:hAnsi="Arial"/>
                <w:sz w:val="18"/>
                <w:szCs w:val="18"/>
                <w:color w:val="auto"/>
              </w:rPr>
              <w:t>X</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X</w:t>
            </w:r>
          </w:p>
        </w:tc>
        <w:tc>
          <w:tcPr>
            <w:tcW w:w="1340" w:type="dxa"/>
            <w:vAlign w:val="bottom"/>
          </w:tcPr>
          <w:p>
            <w:pPr>
              <w:ind w:left="920"/>
              <w:spacing w:after="0"/>
              <w:rPr>
                <w:sz w:val="20"/>
                <w:szCs w:val="20"/>
                <w:color w:val="auto"/>
              </w:rPr>
            </w:pPr>
            <w:r>
              <w:rPr>
                <w:rFonts w:ascii="Arial" w:cs="Arial" w:eastAsia="Arial" w:hAnsi="Arial"/>
                <w:sz w:val="18"/>
                <w:szCs w:val="18"/>
                <w:color w:val="auto"/>
              </w:rPr>
              <w:t>X</w:t>
            </w:r>
          </w:p>
        </w:tc>
        <w:tc>
          <w:tcPr>
            <w:tcW w:w="1240" w:type="dxa"/>
            <w:vAlign w:val="bottom"/>
          </w:tcPr>
          <w:p>
            <w:pPr>
              <w:ind w:left="1020"/>
              <w:spacing w:after="0"/>
              <w:rPr>
                <w:sz w:val="20"/>
                <w:szCs w:val="20"/>
                <w:color w:val="auto"/>
              </w:rPr>
            </w:pPr>
            <w:r>
              <w:rPr>
                <w:rFonts w:ascii="Arial" w:cs="Arial" w:eastAsia="Arial" w:hAnsi="Arial"/>
                <w:sz w:val="18"/>
                <w:szCs w:val="18"/>
                <w:color w:val="auto"/>
              </w:rPr>
              <w:t>X</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If any person (other than an exempt</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5"/>
              </w:rPr>
              <w:t>person) is or becomes the “beneficial</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owner” of greater than 50%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combined voting power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outstanding securities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company</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60" w:type="dxa"/>
            <w:vAlign w:val="bottom"/>
          </w:tcPr>
          <w:p>
            <w:pPr>
              <w:ind w:left="820"/>
              <w:spacing w:after="0"/>
              <w:rPr>
                <w:sz w:val="20"/>
                <w:szCs w:val="20"/>
                <w:color w:val="auto"/>
              </w:rPr>
            </w:pPr>
            <w:r>
              <w:rPr>
                <w:rFonts w:ascii="Arial" w:cs="Arial" w:eastAsia="Arial" w:hAnsi="Arial"/>
                <w:sz w:val="18"/>
                <w:szCs w:val="18"/>
                <w:color w:val="auto"/>
              </w:rPr>
              <w:t>X</w:t>
            </w:r>
          </w:p>
        </w:tc>
        <w:tc>
          <w:tcPr>
            <w:tcW w:w="1120" w:type="dxa"/>
            <w:vAlign w:val="bottom"/>
          </w:tcPr>
          <w:p>
            <w:pPr>
              <w:ind w:left="720"/>
              <w:spacing w:after="0"/>
              <w:rPr>
                <w:sz w:val="20"/>
                <w:szCs w:val="20"/>
                <w:color w:val="auto"/>
              </w:rPr>
            </w:pPr>
            <w:r>
              <w:rPr>
                <w:rFonts w:ascii="Arial" w:cs="Arial" w:eastAsia="Arial" w:hAnsi="Arial"/>
                <w:sz w:val="18"/>
                <w:szCs w:val="18"/>
                <w:color w:val="auto"/>
              </w:rPr>
              <w:t>X</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X</w:t>
            </w:r>
          </w:p>
        </w:tc>
        <w:tc>
          <w:tcPr>
            <w:tcW w:w="1340" w:type="dxa"/>
            <w:vAlign w:val="bottom"/>
          </w:tcPr>
          <w:p>
            <w:pPr>
              <w:ind w:left="920"/>
              <w:spacing w:after="0"/>
              <w:rPr>
                <w:sz w:val="20"/>
                <w:szCs w:val="20"/>
                <w:color w:val="auto"/>
              </w:rPr>
            </w:pPr>
            <w:r>
              <w:rPr>
                <w:rFonts w:ascii="Arial" w:cs="Arial" w:eastAsia="Arial" w:hAnsi="Arial"/>
                <w:sz w:val="18"/>
                <w:szCs w:val="18"/>
                <w:color w:val="auto"/>
              </w:rPr>
              <w:t>X</w:t>
            </w:r>
          </w:p>
        </w:tc>
        <w:tc>
          <w:tcPr>
            <w:tcW w:w="1240" w:type="dxa"/>
            <w:vAlign w:val="bottom"/>
          </w:tcPr>
          <w:p>
            <w:pPr>
              <w:ind w:left="1020"/>
              <w:spacing w:after="0"/>
              <w:rPr>
                <w:sz w:val="20"/>
                <w:szCs w:val="20"/>
                <w:color w:val="auto"/>
              </w:rPr>
            </w:pPr>
            <w:r>
              <w:rPr>
                <w:rFonts w:ascii="Arial" w:cs="Arial" w:eastAsia="Arial" w:hAnsi="Arial"/>
                <w:sz w:val="18"/>
                <w:szCs w:val="18"/>
                <w:color w:val="auto"/>
              </w:rPr>
              <w:t>X</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w w:val="98"/>
              </w:rPr>
              <w:t>If during any period of two consecutive</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years, individuals who were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directors at the beginning of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7"/>
              </w:rPr>
              <w:t>period and any new directors whose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9"/>
              </w:rPr>
              <w:t>election by the Board or nomination</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7"/>
              </w:rPr>
              <w:t>for election by the shareholders was</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approved by at least two-thirds of</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w w:val="97"/>
              </w:rPr>
              <w:t>the directors then still in office cease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for any reason to constitute a</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majority of the Board</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60" w:type="dxa"/>
            <w:vAlign w:val="bottom"/>
          </w:tcPr>
          <w:p>
            <w:pPr>
              <w:ind w:left="820"/>
              <w:spacing w:after="0"/>
              <w:rPr>
                <w:sz w:val="20"/>
                <w:szCs w:val="20"/>
                <w:color w:val="auto"/>
              </w:rPr>
            </w:pPr>
            <w:r>
              <w:rPr>
                <w:rFonts w:ascii="Arial" w:cs="Arial" w:eastAsia="Arial" w:hAnsi="Arial"/>
                <w:sz w:val="18"/>
                <w:szCs w:val="18"/>
                <w:color w:val="auto"/>
              </w:rPr>
              <w:t>X</w:t>
            </w:r>
          </w:p>
        </w:tc>
        <w:tc>
          <w:tcPr>
            <w:tcW w:w="1120" w:type="dxa"/>
            <w:vAlign w:val="bottom"/>
          </w:tcPr>
          <w:p>
            <w:pPr>
              <w:ind w:left="720"/>
              <w:spacing w:after="0"/>
              <w:rPr>
                <w:sz w:val="20"/>
                <w:szCs w:val="20"/>
                <w:color w:val="auto"/>
              </w:rPr>
            </w:pPr>
            <w:r>
              <w:rPr>
                <w:rFonts w:ascii="Arial" w:cs="Arial" w:eastAsia="Arial" w:hAnsi="Arial"/>
                <w:sz w:val="18"/>
                <w:szCs w:val="18"/>
                <w:color w:val="auto"/>
              </w:rPr>
              <w:t>X</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X</w:t>
            </w:r>
          </w:p>
        </w:tc>
        <w:tc>
          <w:tcPr>
            <w:tcW w:w="1340" w:type="dxa"/>
            <w:vAlign w:val="bottom"/>
          </w:tcPr>
          <w:p>
            <w:pPr>
              <w:ind w:left="920"/>
              <w:spacing w:after="0"/>
              <w:rPr>
                <w:sz w:val="20"/>
                <w:szCs w:val="20"/>
                <w:color w:val="auto"/>
              </w:rPr>
            </w:pPr>
            <w:r>
              <w:rPr>
                <w:rFonts w:ascii="Arial" w:cs="Arial" w:eastAsia="Arial" w:hAnsi="Arial"/>
                <w:sz w:val="18"/>
                <w:szCs w:val="18"/>
                <w:color w:val="auto"/>
              </w:rPr>
              <w:t>X</w:t>
            </w:r>
          </w:p>
        </w:tc>
        <w:tc>
          <w:tcPr>
            <w:tcW w:w="1240" w:type="dxa"/>
            <w:vAlign w:val="bottom"/>
          </w:tcPr>
          <w:p>
            <w:pPr>
              <w:ind w:left="1020"/>
              <w:spacing w:after="0"/>
              <w:rPr>
                <w:sz w:val="20"/>
                <w:szCs w:val="20"/>
                <w:color w:val="auto"/>
              </w:rPr>
            </w:pPr>
            <w:r>
              <w:rPr>
                <w:rFonts w:ascii="Arial" w:cs="Arial" w:eastAsia="Arial" w:hAnsi="Arial"/>
                <w:sz w:val="18"/>
                <w:szCs w:val="18"/>
                <w:color w:val="auto"/>
              </w:rPr>
              <w:t>X</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Upon consummation of a merger or</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consolidation of the Company with</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any other corporation (subject to</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certain exceptions)</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60" w:type="dxa"/>
            <w:vAlign w:val="bottom"/>
          </w:tcPr>
          <w:p>
            <w:pPr>
              <w:ind w:left="820"/>
              <w:spacing w:after="0"/>
              <w:rPr>
                <w:sz w:val="20"/>
                <w:szCs w:val="20"/>
                <w:color w:val="auto"/>
              </w:rPr>
            </w:pPr>
            <w:r>
              <w:rPr>
                <w:rFonts w:ascii="Arial" w:cs="Arial" w:eastAsia="Arial" w:hAnsi="Arial"/>
                <w:sz w:val="18"/>
                <w:szCs w:val="18"/>
                <w:color w:val="auto"/>
              </w:rPr>
              <w:t>X</w:t>
            </w:r>
          </w:p>
        </w:tc>
        <w:tc>
          <w:tcPr>
            <w:tcW w:w="1120" w:type="dxa"/>
            <w:vAlign w:val="bottom"/>
          </w:tcPr>
          <w:p>
            <w:pPr>
              <w:ind w:left="720"/>
              <w:spacing w:after="0"/>
              <w:rPr>
                <w:sz w:val="20"/>
                <w:szCs w:val="20"/>
                <w:color w:val="auto"/>
              </w:rPr>
            </w:pPr>
            <w:r>
              <w:rPr>
                <w:rFonts w:ascii="Arial" w:cs="Arial" w:eastAsia="Arial" w:hAnsi="Arial"/>
                <w:sz w:val="18"/>
                <w:szCs w:val="18"/>
                <w:color w:val="auto"/>
              </w:rPr>
              <w:t>X</w:t>
            </w:r>
          </w:p>
        </w:tc>
        <w:tc>
          <w:tcPr>
            <w:tcW w:w="1180" w:type="dxa"/>
            <w:vAlign w:val="bottom"/>
          </w:tcPr>
          <w:p>
            <w:pPr>
              <w:ind w:left="780"/>
              <w:spacing w:after="0"/>
              <w:rPr>
                <w:sz w:val="20"/>
                <w:szCs w:val="20"/>
                <w:color w:val="auto"/>
              </w:rPr>
            </w:pPr>
            <w:r>
              <w:rPr>
                <w:rFonts w:ascii="Arial" w:cs="Arial" w:eastAsia="Arial" w:hAnsi="Arial"/>
                <w:sz w:val="18"/>
                <w:szCs w:val="18"/>
                <w:color w:val="auto"/>
              </w:rPr>
              <w:t>X</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X</w:t>
            </w:r>
          </w:p>
        </w:tc>
        <w:tc>
          <w:tcPr>
            <w:tcW w:w="1340" w:type="dxa"/>
            <w:vAlign w:val="bottom"/>
          </w:tcPr>
          <w:p>
            <w:pPr>
              <w:ind w:left="920"/>
              <w:spacing w:after="0"/>
              <w:rPr>
                <w:sz w:val="20"/>
                <w:szCs w:val="20"/>
                <w:color w:val="auto"/>
              </w:rPr>
            </w:pPr>
            <w:r>
              <w:rPr>
                <w:rFonts w:ascii="Arial" w:cs="Arial" w:eastAsia="Arial" w:hAnsi="Arial"/>
                <w:sz w:val="18"/>
                <w:szCs w:val="18"/>
                <w:color w:val="auto"/>
              </w:rPr>
              <w:t>X</w:t>
            </w:r>
          </w:p>
        </w:tc>
        <w:tc>
          <w:tcPr>
            <w:tcW w:w="1240" w:type="dxa"/>
            <w:vAlign w:val="bottom"/>
          </w:tcPr>
          <w:p>
            <w:pPr>
              <w:ind w:left="1020"/>
              <w:spacing w:after="0"/>
              <w:rPr>
                <w:sz w:val="20"/>
                <w:szCs w:val="20"/>
                <w:color w:val="auto"/>
              </w:rPr>
            </w:pPr>
            <w:r>
              <w:rPr>
                <w:rFonts w:ascii="Arial" w:cs="Arial" w:eastAsia="Arial" w:hAnsi="Arial"/>
                <w:sz w:val="18"/>
                <w:szCs w:val="18"/>
                <w:color w:val="auto"/>
              </w:rPr>
              <w:t>X</w:t>
            </w:r>
          </w:p>
        </w:tc>
      </w:tr>
      <w:tr>
        <w:trPr>
          <w:trHeight w:val="365"/>
        </w:trPr>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82</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Actions that Constitute “Change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center"/>
              <w:ind w:left="174"/>
              <w:spacing w:after="0"/>
              <w:rPr>
                <w:sz w:val="20"/>
                <w:szCs w:val="20"/>
                <w:color w:val="auto"/>
              </w:rPr>
            </w:pPr>
            <w:r>
              <w:rPr>
                <w:rFonts w:ascii="Arial" w:cs="Arial" w:eastAsia="Arial" w:hAnsi="Arial"/>
                <w:sz w:val="14"/>
                <w:szCs w:val="14"/>
                <w:b w:val="1"/>
                <w:bCs w:val="1"/>
                <w:color w:val="auto"/>
                <w:w w:val="85"/>
              </w:rPr>
              <w:t>Daisy</w:t>
            </w:r>
          </w:p>
        </w:tc>
      </w:tr>
      <w:tr>
        <w:trPr>
          <w:trHeight w:val="163"/>
        </w:trPr>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center"/>
              <w:ind w:left="174"/>
              <w:spacing w:after="0" w:line="163" w:lineRule="exact"/>
              <w:rPr>
                <w:sz w:val="20"/>
                <w:szCs w:val="20"/>
                <w:color w:val="auto"/>
              </w:rPr>
            </w:pPr>
            <w:r>
              <w:rPr>
                <w:rFonts w:ascii="Arial" w:cs="Arial" w:eastAsia="Arial" w:hAnsi="Arial"/>
                <w:sz w:val="12"/>
                <w:szCs w:val="12"/>
                <w:b w:val="1"/>
                <w:bCs w:val="1"/>
                <w:color w:val="auto"/>
              </w:rPr>
              <w:t>Vanderlinde</w:t>
            </w:r>
            <w:r>
              <w:rPr>
                <w:rFonts w:ascii="Arial" w:cs="Arial" w:eastAsia="Arial" w:hAnsi="Arial"/>
                <w:sz w:val="18"/>
                <w:szCs w:val="18"/>
                <w:b w:val="1"/>
                <w:bCs w:val="1"/>
                <w:color w:val="auto"/>
                <w:vertAlign w:val="superscript"/>
              </w:rPr>
              <w:t>(3)</w:t>
            </w:r>
          </w:p>
        </w:tc>
      </w:tr>
      <w:tr>
        <w:trPr>
          <w:trHeight w:val="134"/>
        </w:trPr>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Charles</w:t>
            </w:r>
          </w:p>
        </w:tc>
        <w:tc>
          <w:tcPr>
            <w:tcW w:w="1080" w:type="dxa"/>
            <w:vAlign w:val="bottom"/>
          </w:tcPr>
          <w:p>
            <w:pPr>
              <w:jc w:val="center"/>
              <w:ind w:left="174"/>
              <w:spacing w:after="0" w:line="135" w:lineRule="exact"/>
              <w:rPr>
                <w:sz w:val="20"/>
                <w:szCs w:val="20"/>
                <w:color w:val="auto"/>
              </w:rPr>
            </w:pPr>
            <w:r>
              <w:rPr>
                <w:rFonts w:ascii="Arial" w:cs="Arial" w:eastAsia="Arial" w:hAnsi="Arial"/>
                <w:sz w:val="14"/>
                <w:szCs w:val="14"/>
                <w:b w:val="1"/>
                <w:bCs w:val="1"/>
                <w:color w:val="auto"/>
                <w:w w:val="90"/>
              </w:rPr>
              <w:t>(Former</w:t>
            </w:r>
          </w:p>
        </w:tc>
      </w:tr>
      <w:tr>
        <w:trPr>
          <w:trHeight w:val="163"/>
        </w:trPr>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center"/>
              <w:spacing w:after="0" w:line="163" w:lineRule="exact"/>
              <w:rPr>
                <w:sz w:val="20"/>
                <w:szCs w:val="20"/>
                <w:color w:val="auto"/>
              </w:rPr>
            </w:pPr>
            <w:r>
              <w:rPr>
                <w:rFonts w:ascii="Arial" w:cs="Arial" w:eastAsia="Arial" w:hAnsi="Arial"/>
                <w:sz w:val="18"/>
                <w:szCs w:val="18"/>
                <w:b w:val="1"/>
                <w:bCs w:val="1"/>
                <w:color w:val="auto"/>
                <w:vertAlign w:val="subscript"/>
              </w:rPr>
              <w:t>Brown</w:t>
            </w:r>
            <w:r>
              <w:rPr>
                <w:rFonts w:ascii="Arial" w:cs="Arial" w:eastAsia="Arial" w:hAnsi="Arial"/>
                <w:sz w:val="9"/>
                <w:szCs w:val="9"/>
                <w:b w:val="1"/>
                <w:bCs w:val="1"/>
                <w:color w:val="auto"/>
              </w:rPr>
              <w:t>(2)(3)</w:t>
            </w:r>
          </w:p>
        </w:tc>
        <w:tc>
          <w:tcPr>
            <w:tcW w:w="1080" w:type="dxa"/>
            <w:vAlign w:val="bottom"/>
          </w:tcPr>
          <w:p>
            <w:pPr>
              <w:jc w:val="center"/>
              <w:ind w:left="134"/>
              <w:spacing w:after="0"/>
              <w:rPr>
                <w:sz w:val="20"/>
                <w:szCs w:val="20"/>
                <w:color w:val="auto"/>
              </w:rPr>
            </w:pPr>
            <w:r>
              <w:rPr>
                <w:rFonts w:ascii="Arial" w:cs="Arial" w:eastAsia="Arial" w:hAnsi="Arial"/>
                <w:sz w:val="14"/>
                <w:szCs w:val="14"/>
                <w:b w:val="1"/>
                <w:bCs w:val="1"/>
                <w:color w:val="auto"/>
                <w:w w:val="85"/>
              </w:rPr>
              <w:t>Executive</w:t>
            </w:r>
          </w:p>
        </w:tc>
      </w:tr>
      <w:tr>
        <w:trPr>
          <w:trHeight w:val="149"/>
        </w:trPr>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(Former</w:t>
            </w:r>
          </w:p>
        </w:tc>
        <w:tc>
          <w:tcPr>
            <w:tcW w:w="1080" w:type="dxa"/>
            <w:vAlign w:val="bottom"/>
          </w:tcPr>
          <w:p>
            <w:pPr>
              <w:jc w:val="center"/>
              <w:ind w:left="154"/>
              <w:spacing w:after="0" w:line="149" w:lineRule="exact"/>
              <w:rPr>
                <w:sz w:val="20"/>
                <w:szCs w:val="20"/>
                <w:color w:val="auto"/>
              </w:rPr>
            </w:pPr>
            <w:r>
              <w:rPr>
                <w:rFonts w:ascii="Arial" w:cs="Arial" w:eastAsia="Arial" w:hAnsi="Arial"/>
                <w:sz w:val="14"/>
                <w:szCs w:val="14"/>
                <w:b w:val="1"/>
                <w:bCs w:val="1"/>
                <w:color w:val="auto"/>
                <w:w w:val="90"/>
              </w:rPr>
              <w:t>Vice</w:t>
            </w:r>
          </w:p>
        </w:tc>
      </w:tr>
      <w:tr>
        <w:trPr>
          <w:trHeight w:val="161"/>
        </w:trPr>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Neil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Michael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Kevin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2"/>
              </w:rPr>
              <w:t>Steven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Elisa 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President,</w:t>
            </w:r>
          </w:p>
        </w:tc>
        <w:tc>
          <w:tcPr>
            <w:tcW w:w="1080" w:type="dxa"/>
            <w:vAlign w:val="bottom"/>
          </w:tcPr>
          <w:p>
            <w:pPr>
              <w:jc w:val="center"/>
              <w:ind w:left="154"/>
              <w:spacing w:after="0"/>
              <w:rPr>
                <w:sz w:val="20"/>
                <w:szCs w:val="20"/>
                <w:color w:val="auto"/>
              </w:rPr>
            </w:pPr>
            <w:r>
              <w:rPr>
                <w:rFonts w:ascii="Arial" w:cs="Arial" w:eastAsia="Arial" w:hAnsi="Arial"/>
                <w:sz w:val="14"/>
                <w:szCs w:val="14"/>
                <w:b w:val="1"/>
                <w:bCs w:val="1"/>
                <w:color w:val="auto"/>
                <w:w w:val="85"/>
              </w:rPr>
              <w:t>President,</w:t>
            </w:r>
          </w:p>
        </w:tc>
      </w:tr>
      <w:tr>
        <w:trPr>
          <w:trHeight w:val="149"/>
        </w:trPr>
        <w:tc>
          <w:tcPr>
            <w:tcW w:w="880" w:type="dxa"/>
            <w:vAlign w:val="bottom"/>
          </w:tcPr>
          <w:p>
            <w:pPr>
              <w:jc w:val="center"/>
              <w:ind w:right="180"/>
              <w:spacing w:after="0" w:line="149" w:lineRule="exact"/>
              <w:rPr>
                <w:sz w:val="20"/>
                <w:szCs w:val="20"/>
                <w:color w:val="auto"/>
              </w:rPr>
            </w:pPr>
            <w:r>
              <w:rPr>
                <w:rFonts w:ascii="Arial" w:cs="Arial" w:eastAsia="Arial" w:hAnsi="Arial"/>
                <w:sz w:val="11"/>
                <w:szCs w:val="11"/>
                <w:b w:val="1"/>
                <w:bCs w:val="1"/>
                <w:color w:val="auto"/>
              </w:rPr>
              <w:t>Austrian</w:t>
            </w:r>
            <w:r>
              <w:rPr>
                <w:rFonts w:ascii="Arial" w:cs="Arial" w:eastAsia="Arial" w:hAnsi="Arial"/>
                <w:sz w:val="17"/>
                <w:szCs w:val="17"/>
                <w:b w:val="1"/>
                <w:bCs w:val="1"/>
                <w:color w:val="auto"/>
                <w:vertAlign w:val="superscript"/>
              </w:rPr>
              <w:t>(1)</w:t>
            </w:r>
          </w:p>
        </w:tc>
        <w:tc>
          <w:tcPr>
            <w:tcW w:w="11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Newman</w:t>
            </w:r>
            <w:r>
              <w:rPr>
                <w:rFonts w:ascii="Arial" w:cs="Arial" w:eastAsia="Arial" w:hAnsi="Arial"/>
                <w:sz w:val="17"/>
                <w:szCs w:val="17"/>
                <w:b w:val="1"/>
                <w:bCs w:val="1"/>
                <w:color w:val="auto"/>
                <w:vertAlign w:val="superscript"/>
              </w:rPr>
              <w:t>(2)</w:t>
            </w:r>
          </w:p>
        </w:tc>
        <w:tc>
          <w:tcPr>
            <w:tcW w:w="9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Peters</w:t>
            </w:r>
            <w:r>
              <w:rPr>
                <w:rFonts w:ascii="Arial" w:cs="Arial" w:eastAsia="Arial" w:hAnsi="Arial"/>
                <w:sz w:val="17"/>
                <w:szCs w:val="17"/>
                <w:b w:val="1"/>
                <w:bCs w:val="1"/>
                <w:color w:val="auto"/>
                <w:vertAlign w:val="superscript"/>
              </w:rPr>
              <w:t>(2)</w:t>
            </w:r>
          </w:p>
        </w:tc>
        <w:tc>
          <w:tcPr>
            <w:tcW w:w="10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Schmidt</w:t>
            </w:r>
            <w:r>
              <w:rPr>
                <w:rFonts w:ascii="Arial" w:cs="Arial" w:eastAsia="Arial" w:hAnsi="Arial"/>
                <w:sz w:val="17"/>
                <w:szCs w:val="17"/>
                <w:b w:val="1"/>
                <w:bCs w:val="1"/>
                <w:color w:val="auto"/>
                <w:vertAlign w:val="superscript"/>
              </w:rPr>
              <w:t>(2)</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Garcia</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International</w:t>
            </w:r>
          </w:p>
        </w:tc>
        <w:tc>
          <w:tcPr>
            <w:tcW w:w="1080" w:type="dxa"/>
            <w:vAlign w:val="bottom"/>
          </w:tcPr>
          <w:p>
            <w:pPr>
              <w:jc w:val="center"/>
              <w:ind w:left="174"/>
              <w:spacing w:after="0" w:line="149" w:lineRule="exact"/>
              <w:rPr>
                <w:sz w:val="20"/>
                <w:szCs w:val="20"/>
                <w:color w:val="auto"/>
              </w:rPr>
            </w:pPr>
            <w:r>
              <w:rPr>
                <w:rFonts w:ascii="Arial" w:cs="Arial" w:eastAsia="Arial" w:hAnsi="Arial"/>
                <w:sz w:val="14"/>
                <w:szCs w:val="14"/>
                <w:b w:val="1"/>
                <w:bCs w:val="1"/>
                <w:color w:val="auto"/>
                <w:w w:val="92"/>
              </w:rPr>
              <w:t>Human</w:t>
            </w:r>
          </w:p>
        </w:tc>
      </w:tr>
      <w:tr>
        <w:trPr>
          <w:trHeight w:val="149"/>
        </w:trPr>
        <w:tc>
          <w:tcPr>
            <w:tcW w:w="880" w:type="dxa"/>
            <w:vAlign w:val="bottom"/>
          </w:tcPr>
          <w:p>
            <w:pPr>
              <w:jc w:val="center"/>
              <w:ind w:right="160"/>
              <w:spacing w:after="0"/>
              <w:rPr>
                <w:sz w:val="20"/>
                <w:szCs w:val="20"/>
                <w:color w:val="auto"/>
              </w:rPr>
            </w:pPr>
            <w:r>
              <w:rPr>
                <w:rFonts w:ascii="Arial" w:cs="Arial" w:eastAsia="Arial" w:hAnsi="Arial"/>
                <w:sz w:val="11"/>
                <w:szCs w:val="11"/>
                <w:b w:val="1"/>
                <w:bCs w:val="1"/>
                <w:color w:val="auto"/>
              </w:rPr>
              <w:t>(4)</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Division)</w:t>
            </w:r>
          </w:p>
        </w:tc>
        <w:tc>
          <w:tcPr>
            <w:tcW w:w="1080" w:type="dxa"/>
            <w:vAlign w:val="bottom"/>
          </w:tcPr>
          <w:p>
            <w:pPr>
              <w:jc w:val="center"/>
              <w:ind w:left="154"/>
              <w:spacing w:after="0" w:line="149" w:lineRule="exact"/>
              <w:rPr>
                <w:sz w:val="20"/>
                <w:szCs w:val="20"/>
                <w:color w:val="auto"/>
              </w:rPr>
            </w:pPr>
            <w:r>
              <w:rPr>
                <w:rFonts w:ascii="Arial" w:cs="Arial" w:eastAsia="Arial" w:hAnsi="Arial"/>
                <w:sz w:val="14"/>
                <w:szCs w:val="14"/>
                <w:b w:val="1"/>
                <w:bCs w:val="1"/>
                <w:color w:val="auto"/>
                <w:w w:val="81"/>
              </w:rPr>
              <w:t>Resources)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-1294130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20" w:space="720"/>
            <w:col w:w="728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Upon a sale or disposition by the Company of all or</w:t>
            </w:r>
          </w:p>
        </w:tc>
        <w:tc>
          <w:tcPr>
            <w:tcW w:w="10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substantially all of the company’s assets, other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020" w:type="dxa"/>
            <w:vAlign w:val="bottom"/>
          </w:tcPr>
          <w:p>
            <w:pPr>
              <w:ind w:left="220"/>
              <w:spacing w:after="0"/>
              <w:rPr>
                <w:sz w:val="20"/>
                <w:szCs w:val="20"/>
                <w:color w:val="auto"/>
              </w:rPr>
            </w:pPr>
            <w:r>
              <w:rPr>
                <w:rFonts w:ascii="Arial" w:cs="Arial" w:eastAsia="Arial" w:hAnsi="Arial"/>
                <w:sz w:val="18"/>
                <w:szCs w:val="18"/>
                <w:color w:val="auto"/>
              </w:rPr>
              <w:t>than a sale to an exempt person</w:t>
            </w:r>
          </w:p>
        </w:tc>
        <w:tc>
          <w:tcPr>
            <w:tcW w:w="1000" w:type="dxa"/>
            <w:vAlign w:val="bottom"/>
          </w:tcPr>
          <w:p>
            <w:pPr>
              <w:ind w:left="380"/>
              <w:spacing w:after="0"/>
              <w:rPr>
                <w:sz w:val="20"/>
                <w:szCs w:val="20"/>
                <w:color w:val="auto"/>
              </w:rPr>
            </w:pPr>
            <w:r>
              <w:rPr>
                <w:rFonts w:ascii="Arial" w:cs="Arial" w:eastAsia="Arial" w:hAnsi="Arial"/>
                <w:sz w:val="18"/>
                <w:szCs w:val="18"/>
                <w:color w:val="auto"/>
              </w:rPr>
              <w:t>X</w:t>
            </w:r>
          </w:p>
        </w:tc>
        <w:tc>
          <w:tcPr>
            <w:tcW w:w="1060" w:type="dxa"/>
            <w:vAlign w:val="bottom"/>
          </w:tcPr>
          <w:p>
            <w:pPr>
              <w:ind w:left="480"/>
              <w:spacing w:after="0"/>
              <w:rPr>
                <w:sz w:val="20"/>
                <w:szCs w:val="20"/>
                <w:color w:val="auto"/>
              </w:rPr>
            </w:pPr>
            <w:r>
              <w:rPr>
                <w:rFonts w:ascii="Arial" w:cs="Arial" w:eastAsia="Arial" w:hAnsi="Arial"/>
                <w:sz w:val="18"/>
                <w:szCs w:val="18"/>
                <w:color w:val="auto"/>
              </w:rPr>
              <w:t>X</w:t>
            </w:r>
          </w:p>
        </w:tc>
        <w:tc>
          <w:tcPr>
            <w:tcW w:w="1040" w:type="dxa"/>
            <w:vAlign w:val="bottom"/>
          </w:tcPr>
          <w:p>
            <w:pPr>
              <w:ind w:left="460"/>
              <w:spacing w:after="0"/>
              <w:rPr>
                <w:sz w:val="20"/>
                <w:szCs w:val="20"/>
                <w:color w:val="auto"/>
              </w:rPr>
            </w:pPr>
            <w:r>
              <w:rPr>
                <w:rFonts w:ascii="Arial" w:cs="Arial" w:eastAsia="Arial" w:hAnsi="Arial"/>
                <w:sz w:val="18"/>
                <w:szCs w:val="18"/>
                <w:color w:val="auto"/>
              </w:rPr>
              <w:t>X</w:t>
            </w:r>
          </w:p>
        </w:tc>
        <w:tc>
          <w:tcPr>
            <w:tcW w:w="1000" w:type="dxa"/>
            <w:vAlign w:val="bottom"/>
          </w:tcPr>
          <w:p>
            <w:pPr>
              <w:ind w:left="440"/>
              <w:spacing w:after="0"/>
              <w:rPr>
                <w:sz w:val="20"/>
                <w:szCs w:val="20"/>
                <w:color w:val="auto"/>
              </w:rPr>
            </w:pPr>
            <w:r>
              <w:rPr>
                <w:rFonts w:ascii="Arial" w:cs="Arial" w:eastAsia="Arial" w:hAnsi="Arial"/>
                <w:sz w:val="18"/>
                <w:szCs w:val="18"/>
                <w:color w:val="auto"/>
              </w:rPr>
              <w:t>X</w:t>
            </w:r>
          </w:p>
        </w:tc>
        <w:tc>
          <w:tcPr>
            <w:tcW w:w="1040" w:type="dxa"/>
            <w:vAlign w:val="bottom"/>
          </w:tcPr>
          <w:p>
            <w:pPr>
              <w:ind w:left="440"/>
              <w:spacing w:after="0"/>
              <w:rPr>
                <w:sz w:val="20"/>
                <w:szCs w:val="20"/>
                <w:color w:val="auto"/>
              </w:rPr>
            </w:pPr>
            <w:r>
              <w:rPr>
                <w:rFonts w:ascii="Arial" w:cs="Arial" w:eastAsia="Arial" w:hAnsi="Arial"/>
                <w:sz w:val="18"/>
                <w:szCs w:val="18"/>
                <w:color w:val="auto"/>
              </w:rPr>
              <w:t>X</w:t>
            </w:r>
          </w:p>
        </w:tc>
        <w:tc>
          <w:tcPr>
            <w:tcW w:w="1200" w:type="dxa"/>
            <w:vAlign w:val="bottom"/>
          </w:tcPr>
          <w:p>
            <w:pPr>
              <w:ind w:left="480"/>
              <w:spacing w:after="0"/>
              <w:rPr>
                <w:sz w:val="20"/>
                <w:szCs w:val="20"/>
                <w:color w:val="auto"/>
              </w:rPr>
            </w:pPr>
            <w:r>
              <w:rPr>
                <w:rFonts w:ascii="Arial" w:cs="Arial" w:eastAsia="Arial" w:hAnsi="Arial"/>
                <w:sz w:val="18"/>
                <w:szCs w:val="18"/>
                <w:color w:val="auto"/>
              </w:rPr>
              <w:t>X</w:t>
            </w:r>
          </w:p>
        </w:tc>
        <w:tc>
          <w:tcPr>
            <w:tcW w:w="106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318"/>
        </w:trPr>
        <w:tc>
          <w:tcPr>
            <w:tcW w:w="4020" w:type="dxa"/>
            <w:vAlign w:val="bottom"/>
          </w:tcPr>
          <w:p>
            <w:pPr>
              <w:spacing w:after="0"/>
              <w:rPr>
                <w:sz w:val="20"/>
                <w:szCs w:val="20"/>
                <w:color w:val="auto"/>
              </w:rPr>
            </w:pPr>
            <w:r>
              <w:rPr>
                <w:rFonts w:ascii="Arial" w:cs="Arial" w:eastAsia="Arial" w:hAnsi="Arial"/>
                <w:sz w:val="18"/>
                <w:szCs w:val="18"/>
                <w:color w:val="auto"/>
              </w:rPr>
              <w:t>Upon approval by shareholders of a plan of</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complete liquidation or dissolution of the</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4020" w:type="dxa"/>
            <w:vAlign w:val="bottom"/>
          </w:tcPr>
          <w:p>
            <w:pPr>
              <w:ind w:left="220"/>
              <w:spacing w:after="0"/>
              <w:rPr>
                <w:sz w:val="20"/>
                <w:szCs w:val="20"/>
                <w:color w:val="auto"/>
              </w:rPr>
            </w:pPr>
            <w:r>
              <w:rPr>
                <w:rFonts w:ascii="Arial" w:cs="Arial" w:eastAsia="Arial" w:hAnsi="Arial"/>
                <w:sz w:val="18"/>
                <w:szCs w:val="18"/>
                <w:color w:val="auto"/>
              </w:rPr>
              <w:t>company</w:t>
            </w:r>
          </w:p>
        </w:tc>
        <w:tc>
          <w:tcPr>
            <w:tcW w:w="1000" w:type="dxa"/>
            <w:vAlign w:val="bottom"/>
          </w:tcPr>
          <w:p>
            <w:pPr>
              <w:ind w:left="380"/>
              <w:spacing w:after="0"/>
              <w:rPr>
                <w:sz w:val="20"/>
                <w:szCs w:val="20"/>
                <w:color w:val="auto"/>
              </w:rPr>
            </w:pPr>
            <w:r>
              <w:rPr>
                <w:rFonts w:ascii="Arial" w:cs="Arial" w:eastAsia="Arial" w:hAnsi="Arial"/>
                <w:sz w:val="18"/>
                <w:szCs w:val="18"/>
                <w:color w:val="auto"/>
              </w:rPr>
              <w:t>X</w:t>
            </w:r>
          </w:p>
        </w:tc>
        <w:tc>
          <w:tcPr>
            <w:tcW w:w="1060" w:type="dxa"/>
            <w:vAlign w:val="bottom"/>
          </w:tcPr>
          <w:p>
            <w:pPr>
              <w:ind w:left="480"/>
              <w:spacing w:after="0"/>
              <w:rPr>
                <w:sz w:val="20"/>
                <w:szCs w:val="20"/>
                <w:color w:val="auto"/>
              </w:rPr>
            </w:pPr>
            <w:r>
              <w:rPr>
                <w:rFonts w:ascii="Arial" w:cs="Arial" w:eastAsia="Arial" w:hAnsi="Arial"/>
                <w:sz w:val="18"/>
                <w:szCs w:val="18"/>
                <w:color w:val="auto"/>
              </w:rPr>
              <w:t>X</w:t>
            </w:r>
          </w:p>
        </w:tc>
        <w:tc>
          <w:tcPr>
            <w:tcW w:w="1040" w:type="dxa"/>
            <w:vAlign w:val="bottom"/>
          </w:tcPr>
          <w:p>
            <w:pPr>
              <w:ind w:left="460"/>
              <w:spacing w:after="0"/>
              <w:rPr>
                <w:sz w:val="20"/>
                <w:szCs w:val="20"/>
                <w:color w:val="auto"/>
              </w:rPr>
            </w:pPr>
            <w:r>
              <w:rPr>
                <w:rFonts w:ascii="Arial" w:cs="Arial" w:eastAsia="Arial" w:hAnsi="Arial"/>
                <w:sz w:val="18"/>
                <w:szCs w:val="18"/>
                <w:color w:val="auto"/>
              </w:rPr>
              <w:t>X</w:t>
            </w:r>
          </w:p>
        </w:tc>
        <w:tc>
          <w:tcPr>
            <w:tcW w:w="1000" w:type="dxa"/>
            <w:vAlign w:val="bottom"/>
          </w:tcPr>
          <w:p>
            <w:pPr>
              <w:ind w:left="440"/>
              <w:spacing w:after="0"/>
              <w:rPr>
                <w:sz w:val="20"/>
                <w:szCs w:val="20"/>
                <w:color w:val="auto"/>
              </w:rPr>
            </w:pPr>
            <w:r>
              <w:rPr>
                <w:rFonts w:ascii="Arial" w:cs="Arial" w:eastAsia="Arial" w:hAnsi="Arial"/>
                <w:sz w:val="18"/>
                <w:szCs w:val="18"/>
                <w:color w:val="auto"/>
              </w:rPr>
              <w:t>X</w:t>
            </w:r>
          </w:p>
        </w:tc>
        <w:tc>
          <w:tcPr>
            <w:tcW w:w="1040" w:type="dxa"/>
            <w:vAlign w:val="bottom"/>
          </w:tcPr>
          <w:p>
            <w:pPr>
              <w:ind w:left="440"/>
              <w:spacing w:after="0"/>
              <w:rPr>
                <w:sz w:val="20"/>
                <w:szCs w:val="20"/>
                <w:color w:val="auto"/>
              </w:rPr>
            </w:pPr>
            <w:r>
              <w:rPr>
                <w:rFonts w:ascii="Arial" w:cs="Arial" w:eastAsia="Arial" w:hAnsi="Arial"/>
                <w:sz w:val="18"/>
                <w:szCs w:val="18"/>
                <w:color w:val="auto"/>
              </w:rPr>
              <w:t>X</w:t>
            </w:r>
          </w:p>
        </w:tc>
        <w:tc>
          <w:tcPr>
            <w:tcW w:w="1200" w:type="dxa"/>
            <w:vAlign w:val="bottom"/>
          </w:tcPr>
          <w:p>
            <w:pPr>
              <w:ind w:left="480"/>
              <w:spacing w:after="0"/>
              <w:rPr>
                <w:sz w:val="20"/>
                <w:szCs w:val="20"/>
                <w:color w:val="auto"/>
              </w:rPr>
            </w:pPr>
            <w:r>
              <w:rPr>
                <w:rFonts w:ascii="Arial" w:cs="Arial" w:eastAsia="Arial" w:hAnsi="Arial"/>
                <w:sz w:val="18"/>
                <w:szCs w:val="18"/>
                <w:color w:val="auto"/>
              </w:rPr>
              <w:t>X</w:t>
            </w:r>
          </w:p>
        </w:tc>
        <w:tc>
          <w:tcPr>
            <w:tcW w:w="1060" w:type="dxa"/>
            <w:vAlign w:val="bottom"/>
          </w:tcPr>
          <w:p>
            <w:pPr>
              <w:ind w:left="580"/>
              <w:spacing w:after="0"/>
              <w:rPr>
                <w:sz w:val="20"/>
                <w:szCs w:val="20"/>
                <w:color w:val="auto"/>
              </w:rPr>
            </w:pPr>
            <w:r>
              <w:rPr>
                <w:rFonts w:ascii="Arial" w:cs="Arial" w:eastAsia="Arial" w:hAnsi="Arial"/>
                <w:sz w:val="18"/>
                <w:szCs w:val="18"/>
                <w:color w:val="auto"/>
              </w:rPr>
              <w:t>X</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Acquisition by any person or group other than an</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exempt person of: (i) 20% or more of the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combined voting power of the company’s then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outstanding securities without the prior approval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 the company’s Board of Directors, or</w:t>
      </w:r>
    </w:p>
    <w:p>
      <w:pPr>
        <w:spacing w:after="0" w:line="9" w:lineRule="exact"/>
        <w:rPr>
          <w:sz w:val="20"/>
          <w:szCs w:val="20"/>
          <w:color w:val="auto"/>
        </w:rPr>
      </w:pPr>
    </w:p>
    <w:p>
      <w:pPr>
        <w:ind w:left="220" w:right="7880" w:firstLine="4"/>
        <w:spacing w:after="0" w:line="295" w:lineRule="auto"/>
        <w:tabs>
          <w:tab w:leader="none" w:pos="478" w:val="left"/>
        </w:tabs>
        <w:numPr>
          <w:ilvl w:val="1"/>
          <w:numId w:val="44"/>
        </w:numPr>
        <w:rPr>
          <w:rFonts w:ascii="Arial" w:cs="Arial" w:eastAsia="Arial" w:hAnsi="Arial"/>
          <w:sz w:val="16"/>
          <w:szCs w:val="16"/>
          <w:color w:val="auto"/>
        </w:rPr>
      </w:pPr>
      <w:r>
        <w:rPr>
          <w:rFonts w:ascii="Arial" w:cs="Arial" w:eastAsia="Arial" w:hAnsi="Arial"/>
          <w:sz w:val="16"/>
          <w:szCs w:val="16"/>
          <w:color w:val="auto"/>
        </w:rPr>
        <w:t>greater than 50% of the combined voting power of the company’s then outstanding securities, whether or not the company’s Board of Directors has first given its approval</w:t>
      </w:r>
    </w:p>
    <w:p>
      <w:pPr>
        <w:spacing w:after="0" w:line="101" w:lineRule="exact"/>
        <w:rPr>
          <w:rFonts w:ascii="Arial" w:cs="Arial" w:eastAsia="Arial" w:hAnsi="Arial"/>
          <w:sz w:val="16"/>
          <w:szCs w:val="16"/>
          <w:color w:val="auto"/>
        </w:rPr>
      </w:pPr>
    </w:p>
    <w:p>
      <w:pPr>
        <w:jc w:val="both"/>
        <w:ind w:left="460" w:hanging="452"/>
        <w:spacing w:after="0" w:line="272" w:lineRule="auto"/>
        <w:tabs>
          <w:tab w:leader="none" w:pos="46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A “change in control” is not referenced in the Interim Letter Agreement with Neil Austrian dated November 2, 2010. A “change in control” is referenced in the new Letter Agreement with Neil Austrian dated May 23, 2011 which refers to the Change in Control Agreement with Mr. Austrian dated May 23, 2011.</w:t>
      </w:r>
    </w:p>
    <w:p>
      <w:pPr>
        <w:spacing w:after="0" w:line="44" w:lineRule="exact"/>
        <w:rPr>
          <w:rFonts w:ascii="Arial" w:cs="Arial" w:eastAsia="Arial" w:hAnsi="Arial"/>
          <w:sz w:val="20"/>
          <w:szCs w:val="20"/>
          <w:color w:val="auto"/>
          <w:vertAlign w:val="superscript"/>
        </w:rPr>
      </w:pPr>
    </w:p>
    <w:p>
      <w:pPr>
        <w:jc w:val="both"/>
        <w:ind w:left="460" w:hanging="452"/>
        <w:spacing w:after="0" w:line="235"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Any sale or transfer by BC Partners or their affiliates of their equity interest in the company, other than a sale with other shareholders, will be disregarded for purposes of this definition. Any acquisition or continued holding by BC Partners or their affiliates of equity interests shall be disregarded for purposes of the 30% threshold.</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As set forth in the Change in Control Agreement dated in December, 2010.</w:t>
      </w:r>
    </w:p>
    <w:p>
      <w:pPr>
        <w:spacing w:after="0" w:line="49" w:lineRule="exact"/>
        <w:rPr>
          <w:rFonts w:ascii="Arial" w:cs="Arial" w:eastAsia="Arial" w:hAnsi="Arial"/>
          <w:sz w:val="22"/>
          <w:szCs w:val="22"/>
          <w:color w:val="auto"/>
          <w:vertAlign w:val="superscript"/>
        </w:rPr>
      </w:pPr>
    </w:p>
    <w:p>
      <w:pPr>
        <w:ind w:left="460" w:hanging="452"/>
        <w:spacing w:after="0" w:line="235"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As set forth in the Change in Control Agreement dated with Neil Austrian dated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-1138555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Neil Austrian as Chair and Chief Executive Officer</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Austrian, formerly the company’s Lead Director, Chairman of the Corporate Governance and Nominating Committee, and member of the Finance Committee, agreed to serve as the Interim Chairman and Chief Executive Officer effective November 1, 2010 until the company hired a replacement. The company and Mr. Austrian entered into a Letter Agreement dated November 2, 2010, that set forth the compensatory arrangements for Mr. Austrian (the “Interim Agreement”) in order to reflect the unique nature of the newly created interim position until a Chief Executive Officer was hired by the company. On May 23, 2011, the Board elected Mr. Austrian to serve as the company’s Chairman and Chief Executive Officer (“Chair and CEO”). The company and Mr. Austrian entered into a new Letter Agreement dated May 23, 2011 (the “Agreement”) that supersedes and replaces Mr. Austrian’s Interim Agreement and sets forth his compensatory arrangements with the company commencing May 23, 2011. The Interim Agreement and the Agreement are summarized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Agreement and Non-Qualified Stock Option Award Agreement with Mr. Neil Austrian as Interim Chair and CEO during Fiscal Year 2011</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his appointment as Interim Chair and CEO, the company entered into the Interim Agreement and a Non-Qualified Stock Option Award Agreement (the “2010 Option Agreement”), each dated November 2, 2010, with Mr. Austrian to reflect the unique nature of the newly created interim position until a permanent chief executive officer was hired by the company.</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Interim Agreement, Mr. Austrian was eligible to receive a monthly salary of $200,000. Mr. Austrian was also granted a non-qualified stock option to purchase 400,000 shares of common stock of the company (the “2010 Options”) under the Non-Qualified Stock Option Award Agreement dated November 2, 2010 (the “2010 Option Agreement”) pursuant to and subject to the terms of the company’s 2007 Long-Term Incentive Plan (the “2007 LTIP”). The 2010 Options were granted with an exercise price of $4.43, and with such other customary terms as determined by the Compensation Committee under the 2007 LTIP and as set forth in the 2010 Option Agreement. The 2010 Options vested with respect to one third (1/3) of the shares on the grant date of November 2, 2010, and had been scheduled to vest 1/3 on each of the first and second anniversaries of the grant date (each a “Scheduled Vesting Date”), subject to Mr. Austrian, on each Scheduled Vesting Date, continuing to serve as, (i) CEO through the date of commencement of employment of a successor CEO of the company (“Successor CEO Event”), and as (ii) a member of the Board of the Directors of the company, from and after the employment of such Successor CEO. As discussed below the Agreement modified the terms of the 2010 Options.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Interim Agreement, if Mr. Austrian continued to be employed as interim CEO through the Successor CEO Event, then as of such date, the 2010 Options would vest (to the extent not previously vested) with respect to 50% of the shares subject to the 2010 Options, and the then remaining unvested shares covered by the 2010 Options would vest, subject to Mr. Austrian’s continued services as a member of the Board of Directors on the first anniversary of the Successor CEO Event. In addition, the 2010 Options, unless previously forfeited by Mr. Austrian pursuant to a Forfeiture Event (defined below), would become 100% vested upon the occurrence of any of the following events:</w:t>
      </w:r>
    </w:p>
    <w:p>
      <w:pPr>
        <w:spacing w:after="0" w:line="183" w:lineRule="exact"/>
        <w:rPr>
          <w:sz w:val="20"/>
          <w:szCs w:val="20"/>
          <w:color w:val="auto"/>
        </w:rPr>
      </w:pPr>
    </w:p>
    <w:p>
      <w:pPr>
        <w:jc w:val="both"/>
        <w:ind w:left="220" w:hanging="212"/>
        <w:spacing w:after="0" w:line="259"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prior to the occurrence of a Successor CEO Event, (A) Mr. Austrian’s employment as CEO of the company terminates for any reason other than because of his resignation or for termination by the company for good cause or (B) Mr. Austrian has not been re-elected to the Board, despite having offered himself as a candidate for re-election to the Board;</w:t>
      </w:r>
    </w:p>
    <w:p>
      <w:pPr>
        <w:spacing w:after="0" w:line="180" w:lineRule="exact"/>
        <w:rPr>
          <w:rFonts w:ascii="Arial" w:cs="Arial" w:eastAsia="Arial" w:hAnsi="Arial"/>
          <w:sz w:val="18"/>
          <w:szCs w:val="18"/>
          <w:color w:val="auto"/>
        </w:rPr>
      </w:pPr>
    </w:p>
    <w:p>
      <w:pPr>
        <w:jc w:val="both"/>
        <w:ind w:left="220" w:hanging="212"/>
        <w:spacing w:after="0" w:line="259"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following the occurrence of a Successor CEO Event, if Mr. Austrian dies, ceases performing services as a Director upon becoming Disabled (as defined in the 2010 Option Agreement), or has not been re-elected to the Board, despite having offered himself as a candidate for re-election to the Board (other than following the occurrence of a Director Good Cause Event (defined below)); or</w:t>
      </w:r>
    </w:p>
    <w:p>
      <w:pPr>
        <w:spacing w:after="0" w:line="180"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prior to the date of any “Change in Control” of the company (as defined in the 2007 LTIP).</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2010 Options would expire on November 2, 2017, subject to earlier expiration due to certain termination events as described in Section 2(b) of the 2010 Option Agreement.</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any of the foregoing, the unvested portion of the 2010 Options, if any, would be forfeited without consideration if Mr. Austrian resigns or his employment as CEO is terminated by the company with good cause, in either case, prior to the Successor CEO Event or, thereafter, in the event of (A) Mr. Austrian’s resignation as a member of the Board, or (B) termination for cause (as defined in the 2010 Option Agreement).</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Interim Agreement could be terminated by either party with sixty (60) days notice to the other, and would have terminated immediately upon Mr. Austrian’s death or upon termination of his employment by the company for good cause.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his service as Interim Chair and CEO, which ended on May 22, 2011, Mr. Austrian did not receive the cash compensation portion of the company’s 2011 annual retainer for Directors, but he was eligible for the equity portion of the 2011 annual retainer for Directors, which was granted on May 3, 2011, as described in the “Director Compensation Table for Fiscal Year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Mr. Neil Austrian as Chair and CEO during Fiscal Year 2011</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On May 23, 2011, the Board elected Mr. Austrian to serve as the company’s Chair and CEO. The company and Mr. Austrian entered into the Agreement which supersedes and replaces Mr. Austrian’s Interim Agreement and sets forth his compensatory arrangements with the company commencing May 23, 2011.</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Under the Agreement, Mr. Austrian is eligible to receive an annual base salary of $1,100,000. Mr. Austrian is also eligible to earn an annual target bonus (the “Target Bonus”) equal to 140% of his base salary, with such Target Bonus to be pro-rated for the duration of 2011. Mr. Austrian’s eligibility for the Target Bonus is subject to performance targets set by the Board or the Compensation Committee. Under the Agreement (prior to the Amendment as described below), Mr. Austrian had to achieve separate quarterly performance targets determined by the Board or the Compensation Committee of the Board in good faith consultation with Mr. Austrian. In addition, Mr. Austrian had to be continuously employed with the company through the last day of the applicable calendar quarter in order to receive the bonus earned for such quarter. For each calendar quarter that Mr. Austrian satisfied the service requirement and the applicable performance targets, he was to be paid the corresponding earned bonus within 2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months following the end of such calendar quarter during which such portion of the bonus is earned. Unless otherwise determined by the Board or the Compensation Committee, Mr. Austrian’s Target Bonus opportunity under the Agreement was in lieu of his right to participate in any other annual bonus plan applicable to other company employees, except that the Board or the Compensation Committee may administer Mr. Austrian’s Target Bonus under the terms of the company’s 2008 Bonus Plan for Executive Management Employees.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July 25, 2011, the company and Mr. Austrian entered into an Amendment to the Agreement (the “Amendment”) to change his incentive compensation from quarterly targets and payments, if any, to annual targets and payments, if any, with his 2011 performance targets to be the same as the other NEOs. No changes were made to Mr. Austrian’s Target Bonus which remains at 140% of his base salary. The Amendment also provides that for calendar year 2012 and each subsequent calendar year, Mr. Austrian shall participate in the company’s 2008 Bonus Plan for Executive Management Employees (“Executive Bonus Plan”) pursuant to such plan’s terms and in accordance with performance targets established by the Board or its Compensation Committee.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2010 Options</w:t>
      </w:r>
      <w:r>
        <w:rPr>
          <w:rFonts w:ascii="Arial" w:cs="Arial" w:eastAsia="Arial" w:hAnsi="Arial"/>
          <w:sz w:val="18"/>
          <w:szCs w:val="18"/>
          <w:color w:val="auto"/>
        </w:rPr>
        <w:t>. Pursuant to the Interim Agreement, Mr. Austrian was granted the 2010 Options, pursuant to the 2007 LTIP. As discussed above, under the 2010 Option Agreement, 1/3 of the 2010 Options vested on the grant date of November 2, 2010, and additional 1/3 installments of the 2010 Options had been scheduled to vest on each of the first and second anniversaries of such grant date. The Agreement modified the terms of the 2010 Options. Under the Agreement, 100% of the remaining unvested portion of the 2010 Options (i.e., 2/3 of the total grant) will now vest on April 30, 2013. In addition, under the Agreement, Mr. Austrian agreed that his appointment as Chair and CEO of the company did not constitute a “Successor CEO Event” under the 2010 Option Agreement (which would have resulted in a partial vesting acceleration of the 2010 Options). All other previously disclosed terms of the 2010 Option Agreement remain the same.</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Restricted Stock Grants:</w:t>
      </w:r>
      <w:r>
        <w:rPr>
          <w:rFonts w:ascii="Arial" w:cs="Arial" w:eastAsia="Arial" w:hAnsi="Arial"/>
          <w:sz w:val="16"/>
          <w:szCs w:val="16"/>
          <w:color w:val="auto"/>
        </w:rPr>
        <w:t xml:space="preserve"> Under the Agreement, in lieu of a sign-on cash bonus and to incentivize future performance, Mr. Austrian was awarded two grants of restricted shares of the company’s common stock (“Restricted Shares”) on May 23, 2011 (“2011 Grant Date”) pursuant to the 2007 LTIP. The first grant of 600,000 Restricted Shares is subject to vesting based on a service requirement under the 2011 Restricted Stock Award Agreement (Time Vesting) dated May 23, 2011 (“2011 Time Grant”), and the second grant of 600,000 Restricted Shares is subject to vesting based on both service and performance requirements under the 2011 Restricted Stock Award Agreement (Performance Vesting) dated May 23, 2011 (“2011 Performance Grant”), as more fully described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2011 Time Grant</w:t>
      </w:r>
      <w:r>
        <w:rPr>
          <w:rFonts w:ascii="Arial" w:cs="Arial" w:eastAsia="Arial" w:hAnsi="Arial"/>
          <w:sz w:val="18"/>
          <w:szCs w:val="18"/>
          <w:color w:val="auto"/>
        </w:rPr>
        <w:t xml:space="preserve"> — Under the 2011 Time Grant, 100% of the 600,000 Restricted Shares will vest on April 30, 2013 if Mr. Austrian is continuously employed by the company or any subsidiary. If Mr. Austrian’s employment with the company or any subsidiary terminates voluntarily or involuntarily prior to April 30, 2013, he will forfeit 100% of the 2011 Time Grant upon such termination of employment unless one of the following occurs in which case the Restricted Shares will be accelerated:</w:t>
      </w:r>
    </w:p>
    <w:p>
      <w:pPr>
        <w:spacing w:after="0" w:line="143"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death or disability;</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termination without cause (as defined in the 2007 LTIP) from his position as CEO if he is subsequently not re-elected to the Board; or</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change in control.</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u w:val="single" w:color="auto"/>
          <w:color w:val="auto"/>
        </w:rPr>
        <w:t>2011 Performance Grant</w:t>
      </w:r>
      <w:r>
        <w:rPr>
          <w:rFonts w:ascii="Arial" w:cs="Arial" w:eastAsia="Arial" w:hAnsi="Arial"/>
          <w:sz w:val="16"/>
          <w:szCs w:val="16"/>
          <w:color w:val="auto"/>
        </w:rPr>
        <w:t xml:space="preserve"> — Under the 2011 Performance Grant, the 600,000 Restricted Shares will vest (in whole or in part) to the extent that the applicable “Performance Condition” and “Service Condition” (each, as defined below) have both been satisfied on or prior to April 30, 2014 (the “Termination Date”).</w:t>
      </w:r>
    </w:p>
    <w:p>
      <w:pPr>
        <w:spacing w:after="0" w:line="126" w:lineRule="exact"/>
        <w:rPr>
          <w:sz w:val="20"/>
          <w:szCs w:val="20"/>
          <w:color w:val="auto"/>
        </w:rPr>
      </w:pPr>
    </w:p>
    <w:p>
      <w:pPr>
        <w:jc w:val="both"/>
        <w:ind w:left="220" w:hanging="212"/>
        <w:spacing w:after="0" w:line="306" w:lineRule="auto"/>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Condition. The “Performance Condition” shall be satisfied: (i) for 300,000 Restricted Shares if the closing trading price of the company’s Common Stock on the New York Stock Exchange (“NYSE”) equals or exceeds $5.50 for 30 consecutive trading days, and (ii) for the additional 300,000 Restricted Shares if the closing trading price of the company’s Common Stock on the NYSE equals or exceeds $7.00 for 30 consecutive trading days.</w:t>
      </w:r>
    </w:p>
    <w:p>
      <w:pPr>
        <w:spacing w:after="0" w:line="147" w:lineRule="exact"/>
        <w:rPr>
          <w:rFonts w:ascii="Arial" w:cs="Arial" w:eastAsia="Arial" w:hAnsi="Arial"/>
          <w:sz w:val="16"/>
          <w:szCs w:val="16"/>
          <w:color w:val="auto"/>
        </w:rPr>
      </w:pPr>
    </w:p>
    <w:p>
      <w:pPr>
        <w:jc w:val="both"/>
        <w:ind w:left="220" w:hanging="212"/>
        <w:spacing w:after="0" w:line="259"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Service Condition. The “Service Condition” will be satisfied for each half of the 600,000 Restricted Shares if Mr. Austrian remains continuously employed by the company or any subsidiary from the 2011 Grant Date until the later of: (i) April 30, 2013, or (ii) the date on which the applicable Performance Condition for each half of the Restricted Shares is satisfied.</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Mr. Austrian will forfeit all unvested shares of the 2011 Performance Grant as of the Termination Date, or as of the date Mr. Austrian voluntarily or involuntarily terminates his employment with the company or any subsidiary, if earlier, unless the shares are subject to accelerated vesting as described below:</w:t>
      </w:r>
    </w:p>
    <w:p>
      <w:pPr>
        <w:spacing w:after="0" w:line="126" w:lineRule="exact"/>
        <w:rPr>
          <w:sz w:val="20"/>
          <w:szCs w:val="20"/>
          <w:color w:val="auto"/>
        </w:rPr>
      </w:pPr>
    </w:p>
    <w:p>
      <w:pPr>
        <w:jc w:val="both"/>
        <w:ind w:left="220" w:hanging="212"/>
        <w:spacing w:after="0" w:line="298" w:lineRule="auto"/>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Death or Disability. If Mr. Austrian terminates employment with the company or any subsidiary before the Termination Date due to death or Disability (as defined above under the 2011 Time Grant), the Service Condition will be deemed satisfied, and: (i) to the extent that one or both of the Performance Conditions has previously been satisfied, the corresponding portion(s) of the Restricted Shares shall vest immediately, and (ii) any remaining unvested portion(s) of the Restricted Shares will vest if and when such Performance Condition(s) is achieved on or prior to the Termination Date.</w:t>
      </w:r>
    </w:p>
    <w:p>
      <w:pPr>
        <w:spacing w:after="0" w:line="153" w:lineRule="exact"/>
        <w:rPr>
          <w:rFonts w:ascii="Arial" w:cs="Arial" w:eastAsia="Arial" w:hAnsi="Arial"/>
          <w:sz w:val="16"/>
          <w:szCs w:val="16"/>
          <w:color w:val="auto"/>
        </w:rPr>
      </w:pPr>
    </w:p>
    <w:p>
      <w:pPr>
        <w:jc w:val="both"/>
        <w:ind w:left="220" w:hanging="212"/>
        <w:spacing w:after="0" w:line="290" w:lineRule="auto"/>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Termination Without Cause. If Mr. Austrian is terminated by the company without Cause (as defined in the 2007 LTIP) before the Termination Date, the Service Condition will be satisfied: (i) as of the later of: (x) April 30, 2013, or (y) the date on which the applicable Performance Condition for each half of the Restricted Shares is satisfied, if he continues serving as a Director until such date, or (ii) if he is subsequently not re-elected to the Board (other than following an event that would have constituted Cause) despite offering himself as a candidate for re-election to the Board, on the date he is not re-elected to the Board. In the case of option (ii) to the extent that one or both of the Performance Conditions has been previously satisfied, the corresponding portion(s) of the Restricted Stock shall immediately become vested. Following a termination without Cause, Mr. Austrian will remain eligible to satisfy the Performance Conditions with respect to the Restricted Shares (to the extent not previously satisfied) until the Termination Date, as described above.</w:t>
      </w:r>
    </w:p>
    <w:p>
      <w:pPr>
        <w:spacing w:after="0" w:line="158" w:lineRule="exact"/>
        <w:rPr>
          <w:rFonts w:ascii="Arial" w:cs="Arial" w:eastAsia="Arial" w:hAnsi="Arial"/>
          <w:sz w:val="16"/>
          <w:szCs w:val="16"/>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in Control. 100% of the 2011 Performance Grant will vest immediately prior to a Change in Control (as defined in the 2007 LTIP).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Mr. Austrian is entitled to participate in all of the company’s benefit plans on the same basis as generally made available to other senior executives of the company, except for a car allowance, which he has waived.</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Agreement may be terminated by either party at any time and for any reason with not less than sixty (60) days notice to the other, and will terminate immediately upon Mr. Austrian’s death or upon termination of his employment by the company for “good cause” (as defined in the Agreement). The company may also terminate Mr. Austrian’s employment on less than sixty (60) days notice if Mr. Austrian becomes Disabled (as defined above under the 2011 Time Grant). Upon Mr. Austrian’s voluntary or involuntary termination, the company shall pay Mr. Austrian only his accrued base salary through such termination together with his then vested benefits pursuant to the company’s employee benefit plans (including, without limitation, any bonus earned in respect of a previously completed calendar year or other vested benefits that Mr. Austrian is entitled to receive pursuant to the Agreement).</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his election to serve as the Chair and CEO on May 23, 2011, Mr. Austrian continues to serve as a Director but has not served as a member of any committee. However, he is allowed to attend any and all meetings of the Board’s committees in his capacity as CEO. Mr. Austrian will not receive any compensation for his service as a Director beginning May 23,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Austrian is also subject to a Non-Compete Agreement that subjects him to various restrictive covenants that can limit his post-employment activity. These include an eighteen 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Change in Control Agreement with Mr. Austrian Dated May 23, 2011: </w:t>
      </w:r>
      <w:r>
        <w:rPr>
          <w:rFonts w:ascii="Arial" w:cs="Arial" w:eastAsia="Arial" w:hAnsi="Arial"/>
          <w:sz w:val="16"/>
          <w:szCs w:val="16"/>
          <w:color w:val="auto"/>
        </w:rPr>
        <w:t>The Change in Control Agreement between the company and Mr. Austrian dated May 23,</w:t>
      </w:r>
      <w:r>
        <w:rPr>
          <w:rFonts w:ascii="Arial" w:cs="Arial" w:eastAsia="Arial" w:hAnsi="Arial"/>
          <w:sz w:val="16"/>
          <w:szCs w:val="16"/>
          <w:i w:val="1"/>
          <w:iCs w:val="1"/>
          <w:color w:val="auto"/>
        </w:rPr>
        <w:t xml:space="preserve"> </w:t>
      </w:r>
      <w:r>
        <w:rPr>
          <w:rFonts w:ascii="Arial" w:cs="Arial" w:eastAsia="Arial" w:hAnsi="Arial"/>
          <w:sz w:val="16"/>
          <w:szCs w:val="16"/>
          <w:color w:val="auto"/>
        </w:rPr>
        <w:t>2011 governs the terms and conditions of Mr. Austrian’s employment with the company for the one year period following the date of a change in control (as defined in the agreement). During this period, if the company terminates Mr. Austrian’s employment other than for cause, death or disability or if Mr. Austrian resigns for good reason (as such terms are defined in the agreement) following the change in control, Mr. Austrian will be eligible to receive:</w:t>
      </w:r>
    </w:p>
    <w:p>
      <w:pPr>
        <w:spacing w:after="0" w:line="153"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accrued compensation, obligations and other benefits (as provided in the agreement);</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 rata portion of the target annual bonus;</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times the sum of annual base salary and target annual bonus;</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payment of 18 times the company’s monthly COBRA premium for the type of coverage in effect for executive on the date of termination; and</w:t>
      </w:r>
    </w:p>
    <w:p>
      <w:pPr>
        <w:spacing w:after="0" w:line="234" w:lineRule="exact"/>
        <w:rPr>
          <w:rFonts w:ascii="Arial" w:cs="Arial" w:eastAsia="Arial" w:hAnsi="Arial"/>
          <w:sz w:val="16"/>
          <w:szCs w:val="16"/>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24-month executive outplacement services package.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Mr. Austrian dies or the company terminates Mr. Austrian’s employment on account of disability following the change in control, Mr. Austrian will be eligible to receive the payments and benefits described in the first two bullets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Michael Newman, Executive Vice President and Chief Financial Officer</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Executive Vice President and Chief Financial Officer, Michael Newman, is employed pursuant to the terms of an employment offer letter agreement dated August 22, 2008, which was subsequently amended effective December 31, 2008 to bring the agreement into documentary compliance with Section 409A of the Internal Revenue Code of 1986, as amended (the “Code”). In addition, the agreement was further amended effective April 23, 2010 to recognize the change in Mr. Newman’s target bonus percentage under the annual cash bonus plan from 70% to 75% of his base salary beginning with the 2010 performance period. The company is also party to a retention agreement with Mr. Newman dated November 4, 2010 and a Change in Control Agreement with Mr. Newman dated December 17,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 Agreement with Mr. Newman Dated August 22, 2008, As Amended Effective December 31, 2008 and April 23,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Newman is eligible to receive the following:</w:t>
      </w:r>
    </w:p>
    <w:p>
      <w:pPr>
        <w:spacing w:after="0" w:line="212"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base salary of $625,000 per annum, subject to annual review by the Compensation Committee;</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to participate in the company’s bonus plans and equity plans for senior executive officers;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Newman’s employment is terminable at will by either Mr. Newman or the company. If Mr. Newman’s employment is involuntarily terminated by the company for no fault of his own, then he is eligible to receive:</w:t>
      </w:r>
    </w:p>
    <w:p>
      <w:pPr>
        <w:spacing w:after="0" w:line="172"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payment of 18 months of the executive’s annual base salary on the date of termination;</w:t>
      </w:r>
    </w:p>
    <w:p>
      <w:pPr>
        <w:spacing w:after="0" w:line="211"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payment of 18 times the difference between the company’s monthly COBRA premium for the type of coverage in effect for executive on the date of termination and the applicable active employee monthly premium for such coverage;</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pro-rata annual bonus, based on actual performance, for the year of termination;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target annual bonus for the calendar year prior to the year of termination, if the annual bonus for such year has not yet been paid as of the date of termination.</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Mr. Newman’s severance entitlements are conditional upon his execution of a release of claims against the company and its affiliates, and his compliance with the terms of that release.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Newman is also subject to a Non-Compete Agreement that subjects him to various restrictive covenants that can limit his post-employment activity. These include an 18-month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Agreement with Mr. Newman Dated November 4, 2010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Retention Agreement between the company and Mr. Newman dated November 4, 2010, Mr. Newman is eligible to earn a retention payment of up to $1,937,500 (the “Retention Payment”), if he remains actively employed until the last day of the retention period which expires on the date the company files its Annual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Form 10K for fiscal year 2011, but no later than December 31, 2012 (the “Retention Period”). The Retention Payment is payable to Mr. Newman in two installments as follows as long as he remains actively employed with the company until the last day of the Retention Period:</w:t>
      </w:r>
    </w:p>
    <w:p>
      <w:pPr>
        <w:spacing w:after="0" w:line="132" w:lineRule="exact"/>
        <w:rPr>
          <w:sz w:val="20"/>
          <w:szCs w:val="20"/>
          <w:color w:val="auto"/>
        </w:rPr>
      </w:pPr>
    </w:p>
    <w:p>
      <w:pPr>
        <w:jc w:val="both"/>
        <w:ind w:firstLine="8"/>
        <w:spacing w:after="0" w:line="259" w:lineRule="auto"/>
        <w:tabs>
          <w:tab w:leader="none" w:pos="2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installment of $937,500 shall vest upon the earlier of: the date in 2011 that the company files its Form 10-K for the 2010 fiscal year, or December 31, 2011, and shall be payable to Mr. Newman on the earlier of: within thirty (30) days after the company files its Form 10-K for the 2010 fiscal year or December 31, 2011; and</w:t>
      </w:r>
    </w:p>
    <w:p>
      <w:pPr>
        <w:spacing w:after="0" w:line="59" w:lineRule="exact"/>
        <w:rPr>
          <w:rFonts w:ascii="Arial" w:cs="Arial" w:eastAsia="Arial" w:hAnsi="Arial"/>
          <w:sz w:val="18"/>
          <w:szCs w:val="18"/>
          <w:color w:val="auto"/>
        </w:rPr>
      </w:pPr>
    </w:p>
    <w:p>
      <w:pPr>
        <w:jc w:val="both"/>
        <w:ind w:firstLine="8"/>
        <w:spacing w:after="0" w:line="259" w:lineRule="auto"/>
        <w:tabs>
          <w:tab w:leader="none" w:pos="2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second installment of $1,000,000 shall vest upon the earlier of: the date in 2012 that the company files its Form 10-K for the 2011 fiscal year, or December 31, 2012, and shall be payable to Mr. Newman on the earlier of: within thirty (30) days after the company files its Form 10-K for the 2011 fiscal year or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first payment to Mr. Newman under (i) above was made on May 11, 2011.</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prior to the vesting of one or both installments of the Retention Payment, Mr. Newman’s employment is terminated: (i) by the company as a result of a termination for cause (as defined in the agreement), or (ii) by Mr. Newman for any reason, the remaining portion of the Retention Payment which has not yet vested shall be immediately forfeited. If Mr. Newman’s employment is involuntarily terminated prior to the end of the Retention Period by the company for any reason other than cause, any such termination shall result in an immediate vesting of the remaining portion of the Retention Payment which has not yet vested. Such Retention Payment shall be payable to Mr. Newman in addition to any severance benefits that may be payable to him pursuant to the terms in his Offer Letter, as amended, upon separation from employment, or as set forth in any then applicable change in control agreement between Mr. Newman and the company. If, as a result of Mr. Newman’s misconduct, the company is required to prepare an accounting restatement due to the company’s material noncompliance with any financial reporting requirement under the securities laws, the Board may seek recoupment of the Retention Payments.</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 xml:space="preserve">Change in Control Agreement with Mr. Newman Dated December 17, 2010: </w:t>
      </w:r>
      <w:r>
        <w:rPr>
          <w:rFonts w:ascii="Arial" w:cs="Arial" w:eastAsia="Arial" w:hAnsi="Arial"/>
          <w:sz w:val="16"/>
          <w:szCs w:val="16"/>
          <w:color w:val="auto"/>
        </w:rPr>
        <w:t>The substantive provisions of the Change in Control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Mr. Newman dated December 17, 2010 accord with those described above for Mr. Austrian’s Change in Control Agreement dated May 23,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Kevin Peters, President, North America</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President, North America, Kevin Peters, is employed pursuant to the terms of an employment offer letter agreement with Mr. Peters, dated September 20, 2007, which was subsequently amended effective December 31, 2008 to bring the agreement into documentary compliance with Code Section 409A. On April 21, 2010 Mr. Peters was promoted to President, North American Retail Division and on July 17, 2011 he was promoted to President, North America. The company is also a party to a Change in Control Agreement with Mr. Peters dated December 17,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 Agreement with Mr. Peters dated September 20, 2007, As Amended Effective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Peters is eligible to receive the following:</w:t>
      </w:r>
    </w:p>
    <w:p>
      <w:pPr>
        <w:spacing w:after="0" w:line="212"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base salary of $625,000 per annum, subject to annual review by the Compensation Committee;</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 to participate in the company’s bonus plans and equity plans for senior executive officers;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Peters’ employment is terminable at will by either Mr. Peters or the company. If Mr. Peters’ employment is involuntarily terminated by the company for no fault of his own, then he is eligible to receive:</w:t>
      </w:r>
    </w:p>
    <w:p>
      <w:pPr>
        <w:spacing w:after="0" w:line="172"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payment of 18 months of the executive’s annual base salary on the date of termination;</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payment of 18 times the company’s monthly COBRA premium for the type of coverage in effect for executive on the date of termination;</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pro-rata target annual bonus for the year of termination;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target annual bonus for the calendar year prior to the year of termination, if the annual bonus for such year has not yet been paid as of the date of termination.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Peters’ severance entitlements are conditional upon his execution of a release of claims against the company and its affiliates, successors and assigns and his compliance with the terms of that release.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Peters is also subject to a Non-Compete Agreement that subjects him to various restrictive covenants that can limit his post-employment activity. These include an 18-month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 with Mr. Peters Dated December 17, 2010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substantive provisions of the Change in Control Agreement between the company and Mr. Peters dated December 17, 2010 accord with those described above for Mr. Austrian’s Change in Control Agreement dated May 23,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Steve Schmidt, President, International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President, International, Steve Schmidt, is employed pursuant to the terms of an employment offer letter agreement with Mr. Schmidt, dated July 10, 2007, which was subsequently amended effective December 31, 2008 to bring the agreement into documentary compliance with Section 409A. On July 13, 2011 Mr. Schmidt was appointed as the company’s new Executive Vice President, Corporate Strategy and New Business Development. On November 14, 2011, Mr. Schmidt was appointed as the President, International of the company. The company is also a party to a Change in Control Agreement with Mr. Schmidt dated December 16,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 Agreement with Mr. Schmidt Dated July 10, 2007, As Amended Effective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Schmidt is eligible to receive the following:</w:t>
      </w:r>
    </w:p>
    <w:p>
      <w:pPr>
        <w:spacing w:after="0" w:line="212"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base salary of $625,000 per annum, subject to annual review by the Compensation Committee;</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 to participate in the company’s bonus plans and equity plans for senior executive officers;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Mr. Schmidt’s employment is terminable at will by either Mr. Schmidt or the company. If Mr. Schmidt’s employment is involuntarily terminated by the company for no fault of his own, then he is eligible to receive:</w:t>
      </w:r>
    </w:p>
    <w:p>
      <w:pPr>
        <w:spacing w:after="0" w:line="172"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payment of 18 months of the executive’s annual base salary on the date of termination;</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payment of 18 times the company’s monthly COBRA premium for the type of coverage in effect for executive on the date of termination;</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pro-rata target annual bonus for the year of termination;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target annual bonus for the calendar year prior to the year of termination, if the annual bonus for such year has not yet been paid as of the date of termination.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Schmidt’s severance entitlements are conditional upon his execution of a release of claims against the company and its affiliates, successors, and assigns, and his compliance with the terms of that release.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Schmidt is also subject to a Non-Compete Agreement that subjects him to various restrictive covenants that can limit his post-employment activity. These include an 18-month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 with Mr. Schmidt Dated December 16, 2010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substantive provisions of the Change in Control Agreement between the company and Mr. Schmidt dated December 16, 2010 accord with those described above for Mr. Austrian’s Change in Control Agreement dated May 23,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Elisa D. Garcia, Executive Vice President, General Counsel &amp; Corporate Secretary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Executive Vice President, General Counsel &amp; Corporate Secretary, Elisa D. Garcia, is employed pursuant to the terms of an employment offer letter agreement dated May 15, 2007, which was subsequently amended effective December 31, 2008 to bring the agreement into documentary compliance with Section 409A of the Code. The company is also party to a retention agreement with Ms. Garcia dated November 2, 2010 and a Change in Control Agreement with Ms. Garcia dated December 17,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 Agreement with Ms. Garcia dated May 15, 2007, As Amended Effective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Garcia is eligible to receive the following:</w:t>
      </w:r>
    </w:p>
    <w:p>
      <w:pPr>
        <w:spacing w:after="0" w:line="212"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base salary of $440,000 per annum, subject to annual review by the Compensation Committee;</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 to participate in the company’s bonus plans and equity plans for senior executive officers;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Ms. Garcia’s employment is terminable at will by either Ms. Garcia or the company. If Ms. Garcia’s employment is involuntarily terminated by the company for no fault of her own, then she is eligible to receive:</w:t>
      </w:r>
    </w:p>
    <w:p>
      <w:pPr>
        <w:spacing w:after="0" w:line="172" w:lineRule="exact"/>
        <w:rPr>
          <w:sz w:val="20"/>
          <w:szCs w:val="20"/>
          <w:color w:val="auto"/>
        </w:rPr>
      </w:pPr>
    </w:p>
    <w:p>
      <w:pPr>
        <w:ind w:left="5620" w:right="4940" w:hanging="5612"/>
        <w:spacing w:after="0" w:line="408" w:lineRule="auto"/>
        <w:tabs>
          <w:tab w:leader="none" w:pos="218"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payment of 18 months of the executive’s annual base salary on the date of termination; 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hanging="212"/>
        <w:spacing w:after="0" w:line="268"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payment of 18 times the difference between the company’s monthly COBRA premium for the type of coverage in effect for executive on the date of termination and the applicable active employee monthly premium for such coverage;</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pro-rata annual bonus for the year of termination;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target annual bonus for the calendar year prior to the year of termination, if the annual bonus for such year has not yet been paid as of the date of termination.</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Ms. Garcia’s severance entitlements are conditional upon her execution of a release of claims against the company and its affiliates, and her compliance with the terms of that release.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Ms. Garcia is also subject to a Non-Compete Agreement that subjects her to various restrictive covenants that can limit her post-employment activity. These include an 18-month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Agreement with Ms. Garcia Dated November 2, 2010</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the Retention Agreement between the company and Ms. Garcia dated November 2, 2010, Ms. Garcia is eligible to earn a retention payment of up to $1,500,000 (the “Retention Payment”), if she remains actively employed until the last day of the retention period which expires on November 1, 2013 (the “Retention Period”). The Retention Payment is payable to Ms. Garcia in three equal installments of $500,000, with the first payment vested on November 1, 2011, the second payment vests on November 1, 2012, and the final payment vests on November 1, 2013 (each, a “Redemption Payment Date” and collectively, the “Retention Payment Dates”) as long as she remains actively employed with the company until each Redemption Payment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first payment to Ms. Garcia pursuant to the Retention Agreement was made on November 10, 2011.</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prior to the vesting of any of the three installments of the Retention Payment, Ms. Garcia’s employment is terminated: (i) by the company as a result of a termination for cause (as defined in the agreement), or (ii) by Ms. Garcia for any reason, the remaining portion of the Retention Payment which has not yet vested shall be immediately forfeited. If Ms. Garcia’s employment is involuntarily terminated prior to the end of the Retention Period by the company for any reason other than cause, any such termination shall result in an immediate vesting of the remaining portion of the Retention Payment which has not yet vested. Such Retention Payment shall be payable to Ms. Garcia in addition to any severance benefits that may be payable to her pursuant to the terms in her Offer Letter, as amended, upon separation from employment, or as set forth in any then applicable change in control agreement between Ms. Garcia and the company.</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 xml:space="preserve">Change in Control Agreement with Ms. Garcia Dated December 17, 2010: </w:t>
      </w:r>
      <w:r>
        <w:rPr>
          <w:rFonts w:ascii="Arial" w:cs="Arial" w:eastAsia="Arial" w:hAnsi="Arial"/>
          <w:sz w:val="16"/>
          <w:szCs w:val="16"/>
          <w:color w:val="auto"/>
        </w:rPr>
        <w:t>The substantive provisions of the Change in Control Agreement between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Ms. Garcia dated December 17, 2010 accord with those described above for Mr. Austrian’s Change in Control Agreement dated May 23,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Charles Brown, Former President, International Division</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entered into an Executive Employment Agreement initially dated October 8, 2001 with Charles Brown, who was Executive Vice President and Chief Financial Officer when the Executive Employment Agreement was initially entered into and who was subsequently named President, International Division in 2005, in addition to his role as Chief Financial Officer which he maintained until a replacement was hired for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position. Mr. Brown’s Executive Employment Agreement was amended as of July 26, 2005 to recognize Mr. Brown’s promotion to President, International Division, amended and restated effective December 31, 2008 to bring the agreement into documentary compliance with Code Section 409A, and amended as of April 26, 2010 to recognize the addition of a special retention bonus in exchange for the elimination of a walk-away right which existed under the provisions of Mr. Brown’s Change in Control Agreement in effect at the time. The company was also a party to a Change in Control Agreement with Mr. Brown dated December 16,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Severance Benefits under Executive Employment Agreement for Charles Brown.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26, 2011, Mr. Brown, President, International, was terminated without cause from employment. In connection with his termination without cause and pursuant to the terms of his previously negotiated Executive Employment Agreement, Mr. Brown received a severance payment of $4,401,209 which included a retention bonus that the Compensation Committee had negotiated with Mr. Brown in April 2010 in exchange for Mr. Brown waiving his walk-away right under his change in control agreement that was in effect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Agreement with Mr. Brown Dated October 8, 2001, As Amended Effective July 26, 2005, December 31, 2008, and April 26, 2010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of Mr. Brown’s Executive Employment Agreement ran until July 25, 2009, which period was automatically extended for successive one-year periods until Mr. Brown’s termination without cause in September,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Mr. Brown was eligible to receive the following:</w:t>
      </w:r>
    </w:p>
    <w:p>
      <w:pPr>
        <w:spacing w:after="0" w:line="212"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base salary of $625,000 per annum, subject to annual review and upward adjustment by the Compensation Committee;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 annual bonus through participation in the company’s annual bonus plan for senior executives or other bonus plans offered to him; and</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Brown’s employment was subject to termination by the company or by Mr. Brown at any time, subject to the terms and conditions of the Executive Employment Agreement. In September 2011, Mr. Brown was terminated without cause from employment. The respective rights and obligations of Mr. Brown and the company depended upon the party that initiates the termination and the reason for the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termination events (each as defined in Mr. Brown’s Executive Employment Agreement) and the payments Mr. Brown was eligible to receive upon each event.</w:t>
      </w:r>
    </w:p>
    <w:p>
      <w:pPr>
        <w:spacing w:after="0" w:line="168" w:lineRule="exact"/>
        <w:rPr>
          <w:sz w:val="20"/>
          <w:szCs w:val="20"/>
          <w:color w:val="auto"/>
        </w:rPr>
      </w:pPr>
    </w:p>
    <w:p>
      <w:pPr>
        <w:spacing w:after="0"/>
        <w:tabs>
          <w:tab w:leader="none" w:pos="3580" w:val="left"/>
        </w:tabs>
        <w:rPr>
          <w:sz w:val="20"/>
          <w:szCs w:val="20"/>
          <w:color w:val="auto"/>
        </w:rPr>
      </w:pPr>
      <w:r>
        <w:rPr>
          <w:rFonts w:ascii="Arial" w:cs="Arial" w:eastAsia="Arial" w:hAnsi="Arial"/>
          <w:sz w:val="14"/>
          <w:szCs w:val="14"/>
          <w:b w:val="1"/>
          <w:bCs w:val="1"/>
          <w:color w:val="auto"/>
        </w:rPr>
        <w:t>Termination Event</w:t>
      </w:r>
      <w:r>
        <w:rPr>
          <w:sz w:val="20"/>
          <w:szCs w:val="20"/>
          <w:color w:val="auto"/>
        </w:rPr>
        <w:tab/>
      </w:r>
      <w:r>
        <w:rPr>
          <w:rFonts w:ascii="Arial" w:cs="Arial" w:eastAsia="Arial" w:hAnsi="Arial"/>
          <w:sz w:val="12"/>
          <w:szCs w:val="12"/>
          <w:b w:val="1"/>
          <w:bCs w:val="1"/>
          <w:color w:val="auto"/>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9" w:lineRule="exact"/>
        <w:rPr>
          <w:sz w:val="20"/>
          <w:szCs w:val="20"/>
          <w:color w:val="auto"/>
        </w:rPr>
      </w:pPr>
    </w:p>
    <w:p>
      <w:pPr>
        <w:ind w:right="180" w:firstLine="8"/>
        <w:spacing w:after="0" w:line="268" w:lineRule="auto"/>
        <w:tabs>
          <w:tab w:leader="none" w:pos="1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Termination for “cause” or resignation without • “good reason”</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8"/>
          <w:szCs w:val="18"/>
          <w:color w:val="auto"/>
        </w:rPr>
        <w:t>accrued compensation and benefits (including vested and earned but unpaid amounts under incentive plans and other employee programs); and</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special retention bonus of up to $3,000,000 to the extent vested as of the termination date, with such special retention bonus to vest $1,000,000 on each of September 14, 2010, September 14, 2011, and September 14, 2012; provided that, Mr. Brown is employed with the company continuously through each vesting date.</w:t>
      </w:r>
    </w:p>
    <w:p>
      <w:pPr>
        <w:spacing w:after="0" w:line="89" w:lineRule="exact"/>
        <w:rPr>
          <w:sz w:val="20"/>
          <w:szCs w:val="20"/>
          <w:color w:val="auto"/>
        </w:rPr>
      </w:pPr>
    </w:p>
    <w:p>
      <w:pPr>
        <w:sectPr>
          <w:pgSz w:w="11900" w:h="16838" w:orient="portrait"/>
          <w:cols w:equalWidth="0" w:num="2">
            <w:col w:w="3840" w:space="220"/>
            <w:col w:w="7360"/>
          </w:cols>
          <w:pgMar w:left="240" w:top="459" w:right="239" w:bottom="1440" w:gutter="0" w:footer="0" w:header="0"/>
          <w:type w:val="continuous"/>
        </w:sectPr>
      </w:pPr>
    </w:p>
    <w:p>
      <w:pPr>
        <w:ind w:right="180" w:firstLine="8"/>
        <w:spacing w:after="0" w:line="268" w:lineRule="auto"/>
        <w:tabs>
          <w:tab w:leader="none" w:pos="3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resulting from death or • “disability”</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firstLine="8"/>
        <w:spacing w:after="0" w:line="268" w:lineRule="auto"/>
        <w:tabs>
          <w:tab w:leader="none" w:pos="2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Termination without cause or resignation for —• good reason</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accrued compensation and benefits (including vested and earned but unpaid amounts under incentive plans and other employee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 pro rata portion of the target annual bonus; and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special retention bonus of $3,000,000.</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accrued compensation and benefits (including vested and earned but unpaid amounts under incentive plans and other employee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one point five (1.5) times base salary;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pro rata portion of the target annual bonus;</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payment of 18 times the company’s monthly COBRA and other welfare plan premiums for the type of coverage in effect for executive on the date of termination; and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 special retention bonus of $3,000,000.</w:t>
      </w:r>
    </w:p>
    <w:p>
      <w:pPr>
        <w:spacing w:after="0" w:line="549" w:lineRule="exact"/>
        <w:rPr>
          <w:sz w:val="20"/>
          <w:szCs w:val="20"/>
          <w:color w:val="auto"/>
        </w:rPr>
      </w:pPr>
    </w:p>
    <w:p>
      <w:pPr>
        <w:sectPr>
          <w:pgSz w:w="11900" w:h="16838" w:orient="portrait"/>
          <w:cols w:equalWidth="0" w:num="2">
            <w:col w:w="3840" w:space="220"/>
            <w:col w:w="7360"/>
          </w:cols>
          <w:pgMar w:left="240" w:top="459" w:right="239" w:bottom="1440" w:gutter="0" w:footer="0" w:header="0"/>
          <w:type w:val="continuous"/>
        </w:sectPr>
      </w:pPr>
    </w:p>
    <w:p>
      <w:pPr>
        <w:jc w:val="both"/>
        <w:spacing w:after="0" w:line="306" w:lineRule="auto"/>
        <w:rPr>
          <w:sz w:val="20"/>
          <w:szCs w:val="20"/>
          <w:color w:val="auto"/>
        </w:rPr>
      </w:pPr>
      <w:r>
        <w:rPr>
          <w:rFonts w:ascii="Arial" w:cs="Arial" w:eastAsia="Arial" w:hAnsi="Arial"/>
          <w:sz w:val="16"/>
          <w:szCs w:val="16"/>
          <w:color w:val="auto"/>
        </w:rPr>
        <w:t>Mr. Brown’s Executive Employment Agreement subjects him to various restrictive covenants that can limit his post-employment activity. These include a 12-month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 with Mr. Brown Dated December 16, 2010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substantive provisions of the Change in Control Agreement between the company and Mr. Brown dated December 16, 2010 accorded with those described above for Mr. Austrian’s Change in Control Agreement dated May 23,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Daisy Vanderlinde, Former Executive Vice President, Human Resources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former Executive Vice President, Human Resources, Daisy Vanderlinde was employed pursuant to the terms of an employment offer letter agreement with Ms. Vanderlinde, dated September 14, 2005,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was subsequently amended effective December 31, 2008 to bring the agreement into documentary compliance with Section 409A. The company was also a party to a Change in Control Agreement with Ms. Vanderlinde dated December 16, 2010. In August 2011, Ms. Vanderlinde, was terminated and, pursuant to a Separation Agreement, received a severance payment of $1,572,296.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Offer Letter Agreement with Ms. Vanderlinde As Amended Effective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Vanderlinde was eligible to receive the following:</w:t>
      </w:r>
    </w:p>
    <w:p>
      <w:pPr>
        <w:spacing w:after="0" w:line="212"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base salary of $440,000 per annum, subject to annual review by the Compensation Committee;</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 to participate in the company’s bonus plans and equity plans for senior executive officers; and</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benefits and perquisites.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Ms. Vanderlinde’s employment was terminable at will by either Ms. Vanderlinde or the company. Except for cause, or as specified in the letter agreement, if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Vanderlinde’s employment was involuntarily terminated by the company, then she was eligible to receive:</w:t>
      </w:r>
    </w:p>
    <w:p>
      <w:pPr>
        <w:spacing w:after="0" w:line="205"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base salary for 18 months following termination;</w:t>
      </w:r>
    </w:p>
    <w:p>
      <w:pPr>
        <w:spacing w:after="0" w:line="211" w:lineRule="exact"/>
        <w:rPr>
          <w:rFonts w:ascii="Arial" w:cs="Arial" w:eastAsia="Arial" w:hAnsi="Arial"/>
          <w:sz w:val="18"/>
          <w:szCs w:val="18"/>
          <w:color w:val="auto"/>
        </w:rPr>
      </w:pPr>
    </w:p>
    <w:p>
      <w:pPr>
        <w:ind w:left="220" w:hanging="212"/>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of COBRA premiums in excess of applicable active employee co-premiums for 18 months following termination;</w:t>
      </w:r>
    </w:p>
    <w:p>
      <w:pPr>
        <w:spacing w:after="0" w:line="211"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payment equal to one point five (1.5) times target annual bonus in effect for the year in which employment is terminated (provided no violation of non-compete agreement and in lieu of any other bonus with respect to the year in which termination occurs); and</w:t>
      </w:r>
    </w:p>
    <w:p>
      <w:pPr>
        <w:spacing w:after="0" w:line="172" w:lineRule="exact"/>
        <w:rPr>
          <w:rFonts w:ascii="Arial" w:cs="Arial" w:eastAsia="Arial" w:hAnsi="Arial"/>
          <w:sz w:val="18"/>
          <w:szCs w:val="18"/>
          <w:color w:val="auto"/>
        </w:rPr>
      </w:pPr>
    </w:p>
    <w:p>
      <w:pPr>
        <w:ind w:left="220" w:hanging="212"/>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period of 18 months from date of termination in which to exercise any vested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 with Ms. Vanderlinde</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2011, Ms. Vanderlinde was terminated and, pursuant to a Separation Agreement with the company dated September 1, 2011, received a total severance payment of $1,572,296, which included amounts owed to her pursuant to her previously negotiated Employment Offer Letter Agreement and an additional payment to obtain her release of any and all claims against the company. In addition, pursuant to the Separation Agreement, Ms. Vanderlinde remains subject to certain restrictive covenants, discussed below, for a period of 18 months from her termination date. Ms. Vanderlinde’s severance entitlements were conditional upon her execution of a release of claims against the company and its affiliates, and her compliance with the terms of that release.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Ms. Vanderlinde is also subject to a Non-Compete Agreement that subjects her to various restrictive covenants that can limit her post-employment activity. These include an 18-month non-competition period that bars employment or engaging in any business for any competitor. Other restrictions include non-solicitation and non-interference provisions. In addition, non-disclosure provisions protect the company’s confidential information and work product.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Agreement with Ms. Vanderlinde dated December 17, 2010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substantive provisions of the Change in Control Agreement between the company and Ms. Vanderlinde dated December 17, 2010 accorded with those described above for Mr. Austrian’s Change in Control Agreement dated May 23,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INFORMATION REGARDING POTENTIAL PAYMENTS UPON TERMINATION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A CHANGE IN CONTROL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quantify the potential termination and change in control payment amounts assuming a hypothetical triggering event had occurred under each of the NEO employment agreements, change in control agreements and equity plans as of December 31, 2011. The terms and conditions of the post employment and change in control provisions for each of the NEOs are described in detail above.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a Change in Control</w:t>
      </w:r>
    </w:p>
    <w:p>
      <w:pPr>
        <w:spacing w:after="0" w:line="21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Neil Austrian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20"/>
              <w:spacing w:after="0" w:line="132" w:lineRule="exact"/>
              <w:rPr>
                <w:sz w:val="20"/>
                <w:szCs w:val="20"/>
                <w:color w:val="auto"/>
              </w:rPr>
            </w:pPr>
            <w:r>
              <w:rPr>
                <w:rFonts w:ascii="Arial" w:cs="Arial" w:eastAsia="Arial" w:hAnsi="Arial"/>
                <w:sz w:val="14"/>
                <w:szCs w:val="14"/>
                <w:color w:val="auto"/>
                <w:w w:val="90"/>
              </w:rPr>
              <w:t>Involuntary</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Involuntary</w:t>
            </w:r>
          </w:p>
        </w:tc>
        <w:tc>
          <w:tcPr>
            <w:tcW w:w="1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Termination 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Termination or</w:t>
            </w:r>
          </w:p>
        </w:tc>
        <w:tc>
          <w:tcPr>
            <w:tcW w:w="1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Resignation w/</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Resignation w/</w:t>
            </w:r>
          </w:p>
        </w:tc>
        <w:tc>
          <w:tcPr>
            <w:tcW w:w="14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5"/>
              </w:rPr>
              <w:t>Good Reason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3"/>
              </w:rPr>
              <w:t>Good Reason</w:t>
            </w:r>
          </w:p>
        </w:tc>
        <w:tc>
          <w:tcPr>
            <w:tcW w:w="14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Upon or After</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9"/>
              </w:rPr>
              <w:t>Termination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Termination</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Termination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Prior To Change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Change in</w:t>
            </w: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w w:val="90"/>
              </w:rPr>
              <w:t>for All Other</w:t>
            </w:r>
          </w:p>
        </w:tc>
        <w:tc>
          <w:tcPr>
            <w:tcW w:w="2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Resulting from</w:t>
            </w:r>
          </w:p>
        </w:tc>
        <w:tc>
          <w:tcPr>
            <w:tcW w:w="1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8"/>
              </w:rPr>
              <w:t>Resulting from</w:t>
            </w:r>
          </w:p>
        </w:tc>
        <w:tc>
          <w:tcPr>
            <w:tcW w:w="2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Resulting from</w:t>
            </w:r>
          </w:p>
        </w:tc>
        <w:tc>
          <w:tcPr>
            <w:tcW w:w="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w w:val="86"/>
              </w:rPr>
              <w:t>Termination</w:t>
            </w:r>
          </w:p>
        </w:tc>
        <w:tc>
          <w:tcPr>
            <w:tcW w:w="28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3"/>
              </w:rPr>
              <w:t>in Control (w/o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Control</w:t>
            </w:r>
          </w:p>
        </w:tc>
        <w:tc>
          <w:tcPr>
            <w:tcW w:w="10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color w:val="auto"/>
              </w:rPr>
              <w:t>Reasons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without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5"/>
              </w:rPr>
              <w:t>Death</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6"/>
              </w:rPr>
              <w:t>Disability</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7"/>
              </w:rPr>
              <w:t>Retirement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2"/>
              </w:rPr>
              <w:t>for Cause</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79"/>
              </w:rPr>
              <w:t>Cause)</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color w:val="auto"/>
                <w:w w:val="87"/>
              </w:rPr>
              <w:t>(w/o Cause)</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3"/>
              </w:rPr>
              <w:t>(Voluntary)</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89"/>
              </w:rPr>
              <w:t>Termination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color w:val="auto"/>
                <w:w w:val="81"/>
              </w:rPr>
              <w:t>(a)</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8"/>
              <w:spacing w:after="0" w:line="142" w:lineRule="exact"/>
              <w:rPr>
                <w:sz w:val="20"/>
                <w:szCs w:val="20"/>
                <w:color w:val="auto"/>
              </w:rPr>
            </w:pPr>
            <w:r>
              <w:rPr>
                <w:rFonts w:ascii="Arial" w:cs="Arial" w:eastAsia="Arial" w:hAnsi="Arial"/>
                <w:sz w:val="14"/>
                <w:szCs w:val="14"/>
                <w:color w:val="auto"/>
                <w:w w:val="93"/>
              </w:rPr>
              <w:t>(b)</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color w:val="auto"/>
                <w:w w:val="97"/>
              </w:rPr>
              <w:t>(c)</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color w:val="auto"/>
                <w:w w:val="93"/>
              </w:rPr>
              <w:t>(e)</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520"/>
              <w:spacing w:after="0" w:line="142" w:lineRule="exact"/>
              <w:rPr>
                <w:sz w:val="20"/>
                <w:szCs w:val="20"/>
                <w:color w:val="auto"/>
              </w:rPr>
            </w:pPr>
            <w:r>
              <w:rPr>
                <w:rFonts w:ascii="Arial" w:cs="Arial" w:eastAsia="Arial" w:hAnsi="Arial"/>
                <w:sz w:val="14"/>
                <w:szCs w:val="14"/>
                <w:color w:val="auto"/>
              </w:rPr>
              <w:t>(f)</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(g)</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color w:val="auto"/>
                <w:w w:val="93"/>
              </w:rPr>
              <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815,015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Benefits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Outplacement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30,000 (6)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Long-Term Incentive or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Performance Plan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w:t>
            </w:r>
            <w:r>
              <w:rPr>
                <w:rFonts w:ascii="Arial" w:cs="Arial" w:eastAsia="Arial" w:hAnsi="Arial"/>
                <w:sz w:val="18"/>
                <w:szCs w:val="18"/>
                <w:b w:val="1"/>
                <w:bCs w:val="1"/>
                <w:color w:val="auto"/>
              </w:rPr>
              <w:t>3</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1,290,000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1,290,000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1,290,000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2,580,000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Severance </w:t>
            </w:r>
            <w:r>
              <w:rPr>
                <w:rFonts w:ascii="Arial" w:cs="Arial" w:eastAsia="Arial" w:hAnsi="Arial"/>
                <w:sz w:val="18"/>
                <w:szCs w:val="18"/>
                <w:color w:val="auto"/>
              </w:rPr>
              <w:t>(</w:t>
            </w:r>
            <w:r>
              <w:rPr>
                <w:rFonts w:ascii="Arial" w:cs="Arial" w:eastAsia="Arial" w:hAnsi="Arial"/>
                <w:sz w:val="18"/>
                <w:szCs w:val="18"/>
                <w:b w:val="1"/>
                <w:bCs w:val="1"/>
                <w:color w:val="auto"/>
              </w:rPr>
              <w:t>4</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6,997,112 (5)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for Mr. Austrian</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1,290,000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1,290,000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8"/>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1,290,000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9,607,112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8"/>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3,395,015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hanging="452"/>
        <w:spacing w:after="0" w:line="235" w:lineRule="auto"/>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Retirement is generally treated as a voluntary termination for all programs and agreements except the 2007 Long-Term Incentive Plan (“2007 LTIP”). Mr. Austrian’s 2011 Time Grant and 2011 Performance Grant incorporate the restricted stock vesting provisions of the Agreement, which supersede the vesting provisions of the 2007 LTIP.</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Mr. Austrian’s Change in Control Agreement at earned rate.</w:t>
      </w:r>
    </w:p>
    <w:p>
      <w:pPr>
        <w:spacing w:after="0" w:line="74" w:lineRule="exact"/>
        <w:rPr>
          <w:rFonts w:ascii="Arial" w:cs="Arial" w:eastAsia="Arial" w:hAnsi="Arial"/>
          <w:sz w:val="22"/>
          <w:szCs w:val="22"/>
          <w:color w:val="auto"/>
          <w:vertAlign w:val="superscript"/>
        </w:rPr>
      </w:pPr>
    </w:p>
    <w:p>
      <w:pPr>
        <w:jc w:val="both"/>
        <w:ind w:left="460" w:hanging="452"/>
        <w:spacing w:after="0" w:line="241" w:lineRule="auto"/>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Mr. Austrian’s 2011 Time Grant and 2011 Performance Grant incorporate the restricted stock vesting provisions of the Agreement, which supersede the vesting provisions of the 2007 Long-Term Incentive Plan under which his restricted stock was granted. A description of the vesting provisions under the Agreement are included earlier in the “Agreement with Mr. Neil Austrian as Chair and CEO during Fiscal Year 2011” section. Amounts shown reflect the value of all unvested restricted stock based on the closing price of the company’s stock on December 30, 2011. The amounts shown also assume that Mr. Austrian does not remain a director of the company.</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Mr. Austrian’s Agreement does not provide cash severance upon termination other than a termination for a change in control.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41" w:lineRule="auto"/>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Mr. Austrian’s Change in Control Agreement dated May 23, 2011 equal to the sum of: (i) two times the sum of: Mr. Austrian’s base salary in effect on December 30, 2011 and Mr. Austrian’s 2011 target bonus, (ii) Mr. Austrian’s annualized pro-rated 2011 target bonus, (iii) the product of 18 and the monthly COBRA premium on December 30, 2011 for the type of group health plan coverage in effect for Mr. Austrian on December 30, 2011. Under Mr. Austrian’s Change in Control Agreement, if his termination is due to death or disability after a change in control, Mr. Austrian is entitled to his pro-rated 2011 target bonus, which is $1,540,000</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Reflects the value of a 24-month outplacement services package under Mr. Austrian’s Change in Control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a Change in Control</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Michael Newman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500"/>
              <w:spacing w:after="0" w:line="132" w:lineRule="exact"/>
              <w:rPr>
                <w:sz w:val="20"/>
                <w:szCs w:val="20"/>
                <w:color w:val="auto"/>
              </w:rPr>
            </w:pPr>
            <w:r>
              <w:rPr>
                <w:rFonts w:ascii="Arial" w:cs="Arial" w:eastAsia="Arial" w:hAnsi="Arial"/>
                <w:sz w:val="14"/>
                <w:szCs w:val="14"/>
                <w:color w:val="auto"/>
                <w:w w:val="90"/>
              </w:rPr>
              <w:t>Involuntary</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2" w:lineRule="exact"/>
              <w:rPr>
                <w:sz w:val="20"/>
                <w:szCs w:val="20"/>
                <w:color w:val="auto"/>
              </w:rPr>
            </w:pPr>
            <w:r>
              <w:rPr>
                <w:rFonts w:ascii="Arial" w:cs="Arial" w:eastAsia="Arial" w:hAnsi="Arial"/>
                <w:sz w:val="14"/>
                <w:szCs w:val="14"/>
                <w:color w:val="auto"/>
                <w:w w:val="93"/>
              </w:rPr>
              <w:t>Involuntary</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Termination or</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Termination or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Resignation w/</w:t>
            </w: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Resignation w/</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5"/>
              </w:rPr>
              <w:t>Good Reason</w:t>
            </w: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3"/>
              </w:rPr>
              <w:t>Good Reason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Arial" w:cs="Arial" w:eastAsia="Arial" w:hAnsi="Arial"/>
                <w:sz w:val="14"/>
                <w:szCs w:val="14"/>
                <w:color w:val="auto"/>
                <w:w w:val="93"/>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Prior To</w:t>
            </w: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Upon or After</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89"/>
              </w:rPr>
              <w:t>Termination</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Termination</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9"/>
              </w:rPr>
              <w:t>Termination</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4"/>
              </w:rPr>
              <w:t>Change in</w:t>
            </w: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Change in</w:t>
            </w: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w w:val="90"/>
              </w:rPr>
              <w:t>for All Other</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w w:val="95"/>
              </w:rPr>
              <w:t>Change in Control</w:t>
            </w:r>
          </w:p>
        </w:tc>
      </w:tr>
      <w:tr>
        <w:trPr>
          <w:trHeight w:val="149"/>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Resulting from</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Resulting from</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Resulting from</w:t>
            </w: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w w:val="86"/>
              </w:rPr>
              <w:t>Termination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Control</w:t>
            </w: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Control</w:t>
            </w:r>
          </w:p>
        </w:tc>
        <w:tc>
          <w:tcPr>
            <w:tcW w:w="12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79"/>
              </w:rPr>
              <w:t>Reasons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without</w:t>
            </w:r>
          </w:p>
        </w:tc>
      </w:tr>
      <w:tr>
        <w:trPr>
          <w:trHeight w:val="173"/>
        </w:trPr>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color w:val="auto"/>
                <w:w w:val="85"/>
              </w:rPr>
              <w:t>Death</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Disability</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87"/>
              </w:rPr>
              <w:t>Retirement</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5"/>
              </w:rPr>
              <w:t>for Cause</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color w:val="auto"/>
                <w:w w:val="87"/>
              </w:rPr>
              <w:t>(w/o Cause)</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color w:val="auto"/>
                <w:w w:val="87"/>
              </w:rPr>
              <w:t>(w/o Cause)</w:t>
            </w: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(Voluntary)</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Termination</w:t>
            </w:r>
          </w:p>
        </w:tc>
      </w:tr>
      <w:tr>
        <w:trPr>
          <w:trHeight w:val="142"/>
        </w:trPr>
        <w:tc>
          <w:tcPr>
            <w:tcW w:w="2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420"/>
              <w:spacing w:after="0" w:line="143" w:lineRule="exact"/>
              <w:rPr>
                <w:sz w:val="20"/>
                <w:szCs w:val="20"/>
                <w:color w:val="auto"/>
              </w:rPr>
            </w:pPr>
            <w:r>
              <w:rPr>
                <w:rFonts w:ascii="Arial" w:cs="Arial" w:eastAsia="Arial" w:hAnsi="Arial"/>
                <w:sz w:val="14"/>
                <w:szCs w:val="14"/>
                <w:color w:val="auto"/>
                <w:w w:val="93"/>
              </w:rPr>
              <w:t>(a)</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color w:val="auto"/>
                <w:w w:val="93"/>
              </w:rPr>
              <w:t>(b)</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color w:val="auto"/>
                <w:w w:val="97"/>
              </w:rPr>
              <w:t>(c)</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color w:val="auto"/>
              </w:rPr>
              <w:t>(d)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500"/>
              <w:spacing w:after="0" w:line="143" w:lineRule="exact"/>
              <w:rPr>
                <w:sz w:val="20"/>
                <w:szCs w:val="20"/>
                <w:color w:val="auto"/>
              </w:rPr>
            </w:pPr>
            <w:r>
              <w:rPr>
                <w:rFonts w:ascii="Arial" w:cs="Arial" w:eastAsia="Arial" w:hAnsi="Arial"/>
                <w:sz w:val="14"/>
                <w:szCs w:val="14"/>
                <w:color w:val="auto"/>
                <w:w w:val="81"/>
              </w:rPr>
              <w:t>(e)</w:t>
            </w: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500"/>
              <w:spacing w:after="0" w:line="143" w:lineRule="exact"/>
              <w:rPr>
                <w:sz w:val="20"/>
                <w:szCs w:val="20"/>
                <w:color w:val="auto"/>
              </w:rPr>
            </w:pPr>
            <w:r>
              <w:rPr>
                <w:rFonts w:ascii="Arial" w:cs="Arial" w:eastAsia="Arial" w:hAnsi="Arial"/>
                <w:sz w:val="14"/>
                <w:szCs w:val="14"/>
                <w:color w:val="auto"/>
              </w:rPr>
              <w:t>(f)</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8"/>
              <w:spacing w:after="0" w:line="143" w:lineRule="exact"/>
              <w:rPr>
                <w:sz w:val="20"/>
                <w:szCs w:val="20"/>
                <w:color w:val="auto"/>
              </w:rPr>
            </w:pPr>
            <w:r>
              <w:rPr>
                <w:rFonts w:ascii="Arial" w:cs="Arial" w:eastAsia="Arial" w:hAnsi="Arial"/>
                <w:sz w:val="14"/>
                <w:szCs w:val="14"/>
                <w:color w:val="auto"/>
                <w:w w:val="93"/>
              </w:rPr>
              <w:t>(g)</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color w:val="auto"/>
                <w:w w:val="93"/>
              </w:rPr>
              <w:t>(h)</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468,750 (6)</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Outplacement Services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 (7)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Long-Term Incentive or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70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Performance Plan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Options (2)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119,375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119,375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119,375</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440"/>
              <w:spacing w:after="0"/>
              <w:rPr>
                <w:sz w:val="20"/>
                <w:szCs w:val="20"/>
                <w:color w:val="auto"/>
              </w:rPr>
            </w:pPr>
            <w:r>
              <w:rPr>
                <w:rFonts w:ascii="Arial" w:cs="Arial" w:eastAsia="Arial" w:hAnsi="Arial"/>
                <w:sz w:val="18"/>
                <w:szCs w:val="18"/>
                <w:color w:val="auto"/>
              </w:rPr>
              <w:t>Restricted Stock (3)</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179,166</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179,166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179,166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179,166</w:t>
            </w: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Severance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2,431,119 (4)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3,802,759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Total for Mr. Newman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298,541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298,541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2,431,119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4,131,300</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77"/>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767,291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Retirement is generally treated as a voluntary termination for all programs and agreements except the 2007 Long-Term Incentive Plan (“2007 LTIP”).</w:t>
      </w:r>
    </w:p>
    <w:p>
      <w:pPr>
        <w:spacing w:after="0" w:line="74"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stock options under the 2007 LTIP are included later in the “2007 Long-Term Incentive Plan Vesting” section. Reflects the value of all unvested stock options based on the closing price of the company’s stock on December 30, 2011.</w:t>
      </w:r>
    </w:p>
    <w:p>
      <w:pPr>
        <w:spacing w:after="0" w:line="74" w:lineRule="exact"/>
        <w:rPr>
          <w:rFonts w:ascii="Arial" w:cs="Arial" w:eastAsia="Arial" w:hAnsi="Arial"/>
          <w:sz w:val="21"/>
          <w:szCs w:val="21"/>
          <w:color w:val="auto"/>
          <w:vertAlign w:val="superscript"/>
        </w:rPr>
      </w:pPr>
    </w:p>
    <w:p>
      <w:pPr>
        <w:ind w:left="460" w:hanging="452"/>
        <w:spacing w:after="0" w:line="241" w:lineRule="auto"/>
        <w:tabs>
          <w:tab w:leader="none" w:pos="460"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restricted stock under the 2007 LTIP are included later in the “2007 Long-Term Incentive Plan Vesting” section. Reflects the value of all unvested restricted stock based on the closing price of the company’s stock on December 30, 2011.</w:t>
      </w:r>
    </w:p>
    <w:p>
      <w:pPr>
        <w:spacing w:after="0" w:line="74" w:lineRule="exact"/>
        <w:rPr>
          <w:rFonts w:ascii="Arial" w:cs="Arial" w:eastAsia="Arial" w:hAnsi="Arial"/>
          <w:sz w:val="21"/>
          <w:szCs w:val="21"/>
          <w:color w:val="auto"/>
          <w:vertAlign w:val="superscript"/>
        </w:rPr>
      </w:pPr>
    </w:p>
    <w:p>
      <w:pPr>
        <w:jc w:val="both"/>
        <w:ind w:left="460" w:hanging="452"/>
        <w:spacing w:after="0" w:line="241"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Mr. Newman’s Employment Offer Letter dated August 22, 2008, as amended December 31, 2008 and April 24, 2010, equal to the sum of: (i) 1.5 times his base salary in effect on December 30, 2011, (ii) his 2011 pro-rata bonus at the earned rate, and (iii) the product of 18 and the difference between the monthly COBRA premium on December 30, 2011 for the type of group health plan coverage in effect for Mr. Newman on December 30, 2011 and the active employee charge for such coverage. In addition, under Mr. Newman’s Retention Agreement dated November 4, 2010, he is entitled to a special retention payment of $1,000,000.</w:t>
      </w:r>
    </w:p>
    <w:p>
      <w:pPr>
        <w:spacing w:after="0" w:line="68"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Reflects a payment under Mr. Newman’s Change in Control Agreement dated December 17, 2010 (“Change in Control Agreement”) equal to the sum of:</w:t>
      </w:r>
    </w:p>
    <w:p>
      <w:pPr>
        <w:spacing w:after="0" w:line="7" w:lineRule="exact"/>
        <w:rPr>
          <w:rFonts w:ascii="Arial" w:cs="Arial" w:eastAsia="Arial" w:hAnsi="Arial"/>
          <w:sz w:val="20"/>
          <w:szCs w:val="20"/>
          <w:color w:val="auto"/>
          <w:vertAlign w:val="superscript"/>
        </w:rPr>
      </w:pPr>
    </w:p>
    <w:p>
      <w:pPr>
        <w:ind w:left="680" w:hanging="226"/>
        <w:spacing w:after="0"/>
        <w:tabs>
          <w:tab w:leader="none" w:pos="6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two times the sum of: Mr. Newman’s base salary (including car allowance) in effect on December 30, 2011 and Mr. Newman’s 2011 target bonus,</w:t>
      </w:r>
    </w:p>
    <w:p>
      <w:pPr>
        <w:spacing w:after="0" w:line="24" w:lineRule="exact"/>
        <w:rPr>
          <w:rFonts w:ascii="Arial" w:cs="Arial" w:eastAsia="Arial" w:hAnsi="Arial"/>
          <w:sz w:val="16"/>
          <w:szCs w:val="16"/>
          <w:color w:val="auto"/>
        </w:rPr>
      </w:pPr>
    </w:p>
    <w:p>
      <w:pPr>
        <w:jc w:val="both"/>
        <w:ind w:left="460" w:hanging="6"/>
        <w:spacing w:after="0" w:line="292" w:lineRule="auto"/>
        <w:tabs>
          <w:tab w:leader="none" w:pos="736" w:val="left"/>
        </w:tabs>
        <w:numPr>
          <w:ilvl w:val="1"/>
          <w:numId w:val="69"/>
        </w:numPr>
        <w:rPr>
          <w:rFonts w:ascii="Arial" w:cs="Arial" w:eastAsia="Arial" w:hAnsi="Arial"/>
          <w:sz w:val="16"/>
          <w:szCs w:val="16"/>
          <w:color w:val="auto"/>
        </w:rPr>
      </w:pPr>
      <w:r>
        <w:rPr>
          <w:rFonts w:ascii="Arial" w:cs="Arial" w:eastAsia="Arial" w:hAnsi="Arial"/>
          <w:sz w:val="16"/>
          <w:szCs w:val="16"/>
          <w:color w:val="auto"/>
        </w:rPr>
        <w:t>Mr. Newman’s pro-rated 2011 target bonus, (iii) the product of 18 and the monthly COBRA premium on December 30, 2011 for the type of group health plan coverage in effect for Mr. Newman on December 30, 2011. In addition, under Mr. Newman’s Retention Agreement, he is entitled to a special retention payment of $1,000,000. Under Mr. Newman’s Change in Control Agreement, if his termination is due to death or disability after a change in control, Mr. Newman is entitled to his pro-rated 2011 target bonus, which is $477,764. The total payments for Mr. Newman under the foregoing arrangement equal $4,131,300. However, these payments are subject to reduction if the parachute amounts associated with the payments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color w:val="auto"/>
        </w:rPr>
        <w:t>under section 280G of the Code equal or exceed three times Mr. Newman’s average taxable compensation received from the company for the five year period ending December 31, 2010, and if he would receive more on an after tax basis by reducing the payments than he would receive by getting all the payments and paying the 20% excise tax imposed by section 4999 of the Code. The cash severance portion of his payments would be reduced by the minimum amount necessary to bring the total of all the payments to a level where the 20% excise tax is not triggered. The amount of the reduction in the cash severance would be $395,461, and after this reduction the total payments to Mr. Newman would be $3,735,839.</w:t>
      </w:r>
    </w:p>
    <w:p>
      <w:pPr>
        <w:spacing w:after="0" w:line="35" w:lineRule="exact"/>
        <w:rPr>
          <w:sz w:val="20"/>
          <w:szCs w:val="20"/>
          <w:color w:val="auto"/>
        </w:rPr>
      </w:pPr>
    </w:p>
    <w:p>
      <w:pPr>
        <w:jc w:val="both"/>
        <w:ind w:left="460" w:right="2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a payment under Mr. Newman’s Change in Control Agreement equal to his highest annual bonus earned under the bonus plan with respect to the 2008, 2009 and 2010 fiscal years; provided that, he was employed by the company at the end of the 2011 fiscal year. Mr. Newman’s highest bonus was earned under the bonus plan during the 2010 fiscal year.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value of a 24-month outplacement services package under Mr. Newman’s Change in Control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a Change in Control</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Kevin Peters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22"/>
              <w:spacing w:after="0" w:line="132" w:lineRule="exact"/>
              <w:rPr>
                <w:sz w:val="20"/>
                <w:szCs w:val="20"/>
                <w:color w:val="auto"/>
              </w:rPr>
            </w:pPr>
            <w:r>
              <w:rPr>
                <w:rFonts w:ascii="Arial" w:cs="Arial" w:eastAsia="Arial" w:hAnsi="Arial"/>
                <w:sz w:val="14"/>
                <w:szCs w:val="14"/>
                <w:color w:val="auto"/>
                <w:w w:val="90"/>
              </w:rPr>
              <w:t>Involuntary</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60"/>
              <w:spacing w:after="0" w:line="132" w:lineRule="exact"/>
              <w:rPr>
                <w:sz w:val="20"/>
                <w:szCs w:val="20"/>
                <w:color w:val="auto"/>
              </w:rPr>
            </w:pPr>
            <w:r>
              <w:rPr>
                <w:rFonts w:ascii="Arial" w:cs="Arial" w:eastAsia="Arial" w:hAnsi="Arial"/>
                <w:sz w:val="14"/>
                <w:szCs w:val="14"/>
                <w:color w:val="auto"/>
                <w:w w:val="93"/>
              </w:rPr>
              <w:t>Involuntary</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82"/>
              <w:spacing w:after="0" w:line="149" w:lineRule="exact"/>
              <w:rPr>
                <w:sz w:val="20"/>
                <w:szCs w:val="20"/>
                <w:color w:val="auto"/>
              </w:rPr>
            </w:pPr>
            <w:r>
              <w:rPr>
                <w:rFonts w:ascii="Arial" w:cs="Arial" w:eastAsia="Arial" w:hAnsi="Arial"/>
                <w:sz w:val="14"/>
                <w:szCs w:val="14"/>
                <w:color w:val="auto"/>
                <w:w w:val="88"/>
              </w:rPr>
              <w:t>Termination or</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Termination or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102"/>
              <w:spacing w:after="0" w:line="149" w:lineRule="exact"/>
              <w:rPr>
                <w:sz w:val="20"/>
                <w:szCs w:val="20"/>
                <w:color w:val="auto"/>
              </w:rPr>
            </w:pPr>
            <w:r>
              <w:rPr>
                <w:rFonts w:ascii="Arial" w:cs="Arial" w:eastAsia="Arial" w:hAnsi="Arial"/>
                <w:sz w:val="14"/>
                <w:szCs w:val="14"/>
                <w:color w:val="auto"/>
                <w:w w:val="89"/>
              </w:rPr>
              <w:t>Resignation w/</w:t>
            </w: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Resignation w/</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102"/>
              <w:spacing w:after="0" w:line="149" w:lineRule="exact"/>
              <w:rPr>
                <w:sz w:val="20"/>
                <w:szCs w:val="20"/>
                <w:color w:val="auto"/>
              </w:rPr>
            </w:pPr>
            <w:r>
              <w:rPr>
                <w:rFonts w:ascii="Arial" w:cs="Arial" w:eastAsia="Arial" w:hAnsi="Arial"/>
                <w:sz w:val="14"/>
                <w:szCs w:val="14"/>
                <w:color w:val="auto"/>
                <w:w w:val="85"/>
              </w:rPr>
              <w:t>Good Reason</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3"/>
              </w:rPr>
              <w:t>Good Reason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3"/>
              </w:rPr>
              <w:t>(1)</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88"/>
              </w:rPr>
              <w:t>Prior To</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Upon or After</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84"/>
              </w:rPr>
              <w:t>Change in</w:t>
            </w:r>
          </w:p>
        </w:tc>
        <w:tc>
          <w:tcPr>
            <w:tcW w:w="200" w:type="dxa"/>
            <w:vAlign w:val="bottom"/>
          </w:tcPr>
          <w:p>
            <w:pPr>
              <w:spacing w:after="0"/>
              <w:rPr>
                <w:sz w:val="12"/>
                <w:szCs w:val="12"/>
                <w:color w:val="auto"/>
              </w:rPr>
            </w:pPr>
          </w:p>
        </w:tc>
        <w:tc>
          <w:tcPr>
            <w:tcW w:w="1080" w:type="dxa"/>
            <w:vAlign w:val="bottom"/>
          </w:tcPr>
          <w:p>
            <w:pPr>
              <w:jc w:val="center"/>
              <w:ind w:right="360"/>
              <w:spacing w:after="0" w:line="149" w:lineRule="exact"/>
              <w:rPr>
                <w:sz w:val="20"/>
                <w:szCs w:val="20"/>
                <w:color w:val="auto"/>
              </w:rPr>
            </w:pPr>
            <w:r>
              <w:rPr>
                <w:rFonts w:ascii="Arial" w:cs="Arial" w:eastAsia="Arial" w:hAnsi="Arial"/>
                <w:sz w:val="14"/>
                <w:szCs w:val="14"/>
                <w:color w:val="auto"/>
                <w:w w:val="87"/>
              </w:rPr>
              <w:t>Change in</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for All Other</w:t>
            </w:r>
          </w:p>
        </w:tc>
        <w:tc>
          <w:tcPr>
            <w:tcW w:w="12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5"/>
              </w:rPr>
              <w:t>Change in Control</w:t>
            </w:r>
          </w:p>
        </w:tc>
      </w:tr>
      <w:tr>
        <w:trPr>
          <w:trHeight w:val="149"/>
        </w:trPr>
        <w:tc>
          <w:tcPr>
            <w:tcW w:w="2480" w:type="dxa"/>
            <w:vAlign w:val="bottom"/>
          </w:tcPr>
          <w:p>
            <w:pPr>
              <w:spacing w:after="0"/>
              <w:rPr>
                <w:sz w:val="12"/>
                <w:szCs w:val="12"/>
                <w:color w:val="auto"/>
              </w:rPr>
            </w:pP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Resulting from</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Resulting from</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Resulting from</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Termination</w:t>
            </w:r>
          </w:p>
        </w:tc>
        <w:tc>
          <w:tcPr>
            <w:tcW w:w="220" w:type="dxa"/>
            <w:vAlign w:val="bottom"/>
          </w:tcPr>
          <w:p>
            <w:pPr>
              <w:spacing w:after="0"/>
              <w:rPr>
                <w:sz w:val="12"/>
                <w:szCs w:val="12"/>
                <w:color w:val="auto"/>
              </w:rPr>
            </w:pPr>
          </w:p>
        </w:tc>
        <w:tc>
          <w:tcPr>
            <w:tcW w:w="106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2"/>
              </w:rPr>
              <w:t>Control</w:t>
            </w:r>
          </w:p>
        </w:tc>
        <w:tc>
          <w:tcPr>
            <w:tcW w:w="200" w:type="dxa"/>
            <w:vAlign w:val="bottom"/>
          </w:tcPr>
          <w:p>
            <w:pPr>
              <w:spacing w:after="0"/>
              <w:rPr>
                <w:sz w:val="12"/>
                <w:szCs w:val="12"/>
                <w:color w:val="auto"/>
              </w:rPr>
            </w:pPr>
          </w:p>
        </w:tc>
        <w:tc>
          <w:tcPr>
            <w:tcW w:w="1080" w:type="dxa"/>
            <w:vAlign w:val="bottom"/>
          </w:tcPr>
          <w:p>
            <w:pPr>
              <w:jc w:val="center"/>
              <w:ind w:right="380"/>
              <w:spacing w:after="0" w:line="149" w:lineRule="exact"/>
              <w:rPr>
                <w:sz w:val="20"/>
                <w:szCs w:val="20"/>
                <w:color w:val="auto"/>
              </w:rPr>
            </w:pPr>
            <w:r>
              <w:rPr>
                <w:rFonts w:ascii="Arial" w:cs="Arial" w:eastAsia="Arial" w:hAnsi="Arial"/>
                <w:sz w:val="14"/>
                <w:szCs w:val="14"/>
                <w:color w:val="auto"/>
                <w:w w:val="92"/>
              </w:rPr>
              <w:t>Control</w:t>
            </w:r>
          </w:p>
        </w:tc>
        <w:tc>
          <w:tcPr>
            <w:tcW w:w="200" w:type="dxa"/>
            <w:vAlign w:val="bottom"/>
          </w:tcPr>
          <w:p>
            <w:pPr>
              <w:spacing w:after="0"/>
              <w:rPr>
                <w:sz w:val="12"/>
                <w:szCs w:val="12"/>
                <w:color w:val="auto"/>
              </w:rPr>
            </w:pPr>
          </w:p>
        </w:tc>
        <w:tc>
          <w:tcPr>
            <w:tcW w:w="740" w:type="dxa"/>
            <w:vAlign w:val="bottom"/>
          </w:tcPr>
          <w:p>
            <w:pPr>
              <w:jc w:val="center"/>
              <w:ind w:right="177"/>
              <w:spacing w:after="0" w:line="149" w:lineRule="exact"/>
              <w:rPr>
                <w:sz w:val="20"/>
                <w:szCs w:val="20"/>
                <w:color w:val="auto"/>
              </w:rPr>
            </w:pPr>
            <w:r>
              <w:rPr>
                <w:rFonts w:ascii="Arial" w:cs="Arial" w:eastAsia="Arial" w:hAnsi="Arial"/>
                <w:sz w:val="14"/>
                <w:szCs w:val="14"/>
                <w:color w:val="auto"/>
                <w:w w:val="79"/>
              </w:rPr>
              <w:t>Reasons</w:t>
            </w:r>
          </w:p>
        </w:tc>
        <w:tc>
          <w:tcPr>
            <w:tcW w:w="2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without</w:t>
            </w:r>
          </w:p>
        </w:tc>
      </w:tr>
      <w:tr>
        <w:trPr>
          <w:trHeight w:val="173"/>
        </w:trPr>
        <w:tc>
          <w:tcPr>
            <w:tcW w:w="2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85"/>
              </w:rPr>
              <w:t>Death</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w w:val="96"/>
              </w:rPr>
              <w:t>Disability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87"/>
              </w:rPr>
              <w:t>Retirement</w:t>
            </w: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for Cause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87"/>
              </w:rPr>
              <w:t>(w/o Cause)</w:t>
            </w: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87"/>
              </w:rPr>
              <w:t>(w/o Cause)</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(Voluntary)</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Termination</w:t>
            </w:r>
          </w:p>
        </w:tc>
      </w:tr>
      <w:tr>
        <w:trPr>
          <w:trHeight w:val="142"/>
        </w:trPr>
        <w:tc>
          <w:tcPr>
            <w:tcW w:w="24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37"/>
              <w:spacing w:after="0" w:line="143" w:lineRule="exact"/>
              <w:rPr>
                <w:sz w:val="20"/>
                <w:szCs w:val="20"/>
                <w:color w:val="auto"/>
              </w:rPr>
            </w:pPr>
            <w:r>
              <w:rPr>
                <w:rFonts w:ascii="Arial" w:cs="Arial" w:eastAsia="Arial" w:hAnsi="Arial"/>
                <w:sz w:val="14"/>
                <w:szCs w:val="14"/>
                <w:color w:val="auto"/>
                <w:w w:val="81"/>
              </w:rPr>
              <w:t>(a)</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57"/>
              <w:spacing w:after="0" w:line="143" w:lineRule="exact"/>
              <w:rPr>
                <w:sz w:val="20"/>
                <w:szCs w:val="20"/>
                <w:color w:val="auto"/>
              </w:rPr>
            </w:pPr>
            <w:r>
              <w:rPr>
                <w:rFonts w:ascii="Arial" w:cs="Arial" w:eastAsia="Arial" w:hAnsi="Arial"/>
                <w:sz w:val="14"/>
                <w:szCs w:val="14"/>
                <w:color w:val="auto"/>
                <w:w w:val="93"/>
              </w:rPr>
              <w:t>(b)</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59"/>
              <w:spacing w:after="0" w:line="143" w:lineRule="exact"/>
              <w:rPr>
                <w:sz w:val="20"/>
                <w:szCs w:val="20"/>
                <w:color w:val="auto"/>
              </w:rPr>
            </w:pPr>
            <w:r>
              <w:rPr>
                <w:rFonts w:ascii="Arial" w:cs="Arial" w:eastAsia="Arial" w:hAnsi="Arial"/>
                <w:sz w:val="14"/>
                <w:szCs w:val="14"/>
                <w:color w:val="auto"/>
                <w:w w:val="85"/>
              </w:rPr>
              <w:t>(c)</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color w:val="auto"/>
              </w:rPr>
              <w:t>(d)</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22"/>
              <w:spacing w:after="0" w:line="143" w:lineRule="exact"/>
              <w:rPr>
                <w:sz w:val="20"/>
                <w:szCs w:val="20"/>
                <w:color w:val="auto"/>
              </w:rPr>
            </w:pPr>
            <w:r>
              <w:rPr>
                <w:rFonts w:ascii="Arial" w:cs="Arial" w:eastAsia="Arial" w:hAnsi="Arial"/>
                <w:sz w:val="14"/>
                <w:szCs w:val="14"/>
                <w:color w:val="auto"/>
                <w:w w:val="81"/>
              </w:rPr>
              <w:t>(e)</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80"/>
              <w:spacing w:after="0" w:line="143" w:lineRule="exact"/>
              <w:rPr>
                <w:sz w:val="20"/>
                <w:szCs w:val="20"/>
                <w:color w:val="auto"/>
              </w:rPr>
            </w:pPr>
            <w:r>
              <w:rPr>
                <w:rFonts w:ascii="Arial" w:cs="Arial" w:eastAsia="Arial" w:hAnsi="Arial"/>
                <w:sz w:val="14"/>
                <w:szCs w:val="14"/>
                <w:color w:val="auto"/>
              </w:rPr>
              <w:t>(f)</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7"/>
              <w:spacing w:after="0" w:line="143" w:lineRule="exact"/>
              <w:rPr>
                <w:sz w:val="20"/>
                <w:szCs w:val="20"/>
                <w:color w:val="auto"/>
              </w:rPr>
            </w:pPr>
            <w:r>
              <w:rPr>
                <w:rFonts w:ascii="Arial" w:cs="Arial" w:eastAsia="Arial" w:hAnsi="Arial"/>
                <w:sz w:val="14"/>
                <w:szCs w:val="14"/>
                <w:color w:val="auto"/>
                <w:w w:val="93"/>
              </w:rPr>
              <w:t>(g)</w:t>
            </w: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color w:val="auto"/>
                <w:w w:val="93"/>
              </w:rPr>
              <w:t>(h)</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301,740 (6)</w:t>
            </w: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30,000 (7)</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b w:val="1"/>
                <w:bCs w:val="1"/>
                <w:color w:val="auto"/>
              </w:rPr>
              <w:t>Long-Term Incentive or</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480" w:type="dxa"/>
            <w:vAlign w:val="bottom"/>
          </w:tcPr>
          <w:p>
            <w:pPr>
              <w:ind w:left="220"/>
              <w:spacing w:after="0"/>
              <w:rPr>
                <w:sz w:val="20"/>
                <w:szCs w:val="20"/>
                <w:color w:val="auto"/>
              </w:rPr>
            </w:pPr>
            <w:r>
              <w:rPr>
                <w:rFonts w:ascii="Arial" w:cs="Arial" w:eastAsia="Arial" w:hAnsi="Arial"/>
                <w:sz w:val="18"/>
                <w:szCs w:val="18"/>
                <w:b w:val="1"/>
                <w:bCs w:val="1"/>
                <w:color w:val="auto"/>
              </w:rPr>
              <w:t>Performance Plan</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 (2)</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89,531</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89,531</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89,531</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ind w:left="440"/>
              <w:spacing w:after="0"/>
              <w:rPr>
                <w:sz w:val="20"/>
                <w:szCs w:val="20"/>
                <w:color w:val="auto"/>
              </w:rPr>
            </w:pPr>
            <w:r>
              <w:rPr>
                <w:rFonts w:ascii="Arial" w:cs="Arial" w:eastAsia="Arial" w:hAnsi="Arial"/>
                <w:sz w:val="18"/>
                <w:szCs w:val="18"/>
                <w:color w:val="auto"/>
              </w:rPr>
              <w:t>Restricted Stock (3)</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
              <w:spacing w:after="0"/>
              <w:rPr>
                <w:sz w:val="20"/>
                <w:szCs w:val="20"/>
                <w:color w:val="auto"/>
              </w:rPr>
            </w:pPr>
            <w:r>
              <w:rPr>
                <w:rFonts w:ascii="Arial" w:cs="Arial" w:eastAsia="Arial" w:hAnsi="Arial"/>
                <w:sz w:val="18"/>
                <w:szCs w:val="18"/>
                <w:color w:val="auto"/>
                <w:w w:val="95"/>
              </w:rPr>
              <w:t>179,166</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179,166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80"/>
              <w:spacing w:after="0"/>
              <w:rPr>
                <w:sz w:val="20"/>
                <w:szCs w:val="20"/>
                <w:color w:val="auto"/>
              </w:rPr>
            </w:pPr>
            <w:r>
              <w:rPr>
                <w:rFonts w:ascii="Arial" w:cs="Arial" w:eastAsia="Arial" w:hAnsi="Arial"/>
                <w:sz w:val="18"/>
                <w:szCs w:val="18"/>
                <w:color w:val="auto"/>
              </w:rPr>
              <w:t>179,166</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179,166</w:t>
            </w:r>
          </w:p>
        </w:tc>
        <w:tc>
          <w:tcPr>
            <w:tcW w:w="100" w:type="dxa"/>
            <w:vAlign w:val="bottom"/>
          </w:tcPr>
          <w:p>
            <w:pPr>
              <w:spacing w:after="0"/>
              <w:rPr>
                <w:sz w:val="18"/>
                <w:szCs w:val="18"/>
                <w:color w:val="auto"/>
              </w:rPr>
            </w:pPr>
          </w:p>
        </w:tc>
      </w:tr>
      <w:tr>
        <w:trPr>
          <w:trHeight w:val="216"/>
        </w:trPr>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Severance</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87"/>
              </w:rPr>
              <w:t>1,520,428 (4)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89"/>
              </w:rPr>
              <w:t>2,819,657 (5)</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for Mr. Peters</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5"/>
              </w:rPr>
              <w:t>268,697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268,697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92"/>
              </w:rPr>
              <w:t>1,520,428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b w:val="1"/>
                <w:bCs w:val="1"/>
                <w:color w:val="auto"/>
                <w:w w:val="87"/>
              </w:rPr>
              <w:t>3,118,354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570,437</w:t>
            </w: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Retirement is generally treated as a voluntary termination for all programs and agreements except the 2007 Long-Term Incentive Plan (“2007 LTIP”).</w:t>
      </w:r>
    </w:p>
    <w:p>
      <w:pPr>
        <w:spacing w:after="0" w:line="74"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stock options under the 2007 LTIP are included later in the “2007 Long-Term Incentive Plan Vesting” section. Reflects the value of all unvested stock options based on the closing price of the company’s stock on December 30, 2011.</w:t>
      </w:r>
    </w:p>
    <w:p>
      <w:pPr>
        <w:spacing w:after="0" w:line="74" w:lineRule="exact"/>
        <w:rPr>
          <w:rFonts w:ascii="Arial" w:cs="Arial" w:eastAsia="Arial" w:hAnsi="Arial"/>
          <w:sz w:val="21"/>
          <w:szCs w:val="21"/>
          <w:color w:val="auto"/>
          <w:vertAlign w:val="superscript"/>
        </w:rPr>
      </w:pPr>
    </w:p>
    <w:p>
      <w:pPr>
        <w:ind w:left="460" w:hanging="452"/>
        <w:spacing w:after="0" w:line="241" w:lineRule="auto"/>
        <w:tabs>
          <w:tab w:leader="none" w:pos="46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restricted stock under the 2007 LTIP are included later in the “2007 Long-Term Incentive Plan Vesting” section. Reflects the value of all unvested restricted stock based on the closing price of the company’s stock on December 30, 2011.</w:t>
      </w:r>
    </w:p>
    <w:p>
      <w:pPr>
        <w:spacing w:after="0" w:line="74" w:lineRule="exact"/>
        <w:rPr>
          <w:rFonts w:ascii="Arial" w:cs="Arial" w:eastAsia="Arial" w:hAnsi="Arial"/>
          <w:sz w:val="21"/>
          <w:szCs w:val="21"/>
          <w:color w:val="auto"/>
          <w:vertAlign w:val="superscript"/>
        </w:rPr>
      </w:pPr>
    </w:p>
    <w:p>
      <w:pPr>
        <w:jc w:val="both"/>
        <w:ind w:left="460" w:right="20" w:hanging="452"/>
        <w:spacing w:after="0" w:line="272" w:lineRule="auto"/>
        <w:tabs>
          <w:tab w:leader="none" w:pos="46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Reflects a payment under Mr. Peters’ Employment Offer Letter dated September 20, 2007, as amended December 31, 2008 and April 24, 2010, equal to the sum of: (i) 1.5 times his base salary in effect on December 30, 2011, (ii) his 2011 pro-rata target bonus, and (iii) the product of 18 and the monthly COBRA premium on December 30, 2011 for the type of group health plan coverage in effect for Mr. Peters on December 30, 2011.</w:t>
      </w:r>
    </w:p>
    <w:p>
      <w:pPr>
        <w:spacing w:after="0" w:line="51" w:lineRule="exact"/>
        <w:rPr>
          <w:rFonts w:ascii="Arial" w:cs="Arial" w:eastAsia="Arial" w:hAnsi="Arial"/>
          <w:sz w:val="20"/>
          <w:szCs w:val="20"/>
          <w:color w:val="auto"/>
          <w:vertAlign w:val="superscript"/>
        </w:rPr>
      </w:pPr>
    </w:p>
    <w:p>
      <w:pPr>
        <w:jc w:val="both"/>
        <w:ind w:left="460" w:hanging="452"/>
        <w:spacing w:after="0" w:line="254" w:lineRule="auto"/>
        <w:tabs>
          <w:tab w:leader="none" w:pos="46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Reflects a payment under Mr. Peters’ Change in Control Agreement dated December 17, 2010 equal to the sum of: (i) two times the sum of: Mr. Peters’ base salary (including car allowance) in effect on December 30, 2011 and Mr. Peters’ 2011 target bonus, (ii) Mr. Peters’ pro-rated 2011 target bonus,</w:t>
      </w:r>
    </w:p>
    <w:p>
      <w:pPr>
        <w:jc w:val="both"/>
        <w:ind w:left="460" w:hanging="6"/>
        <w:spacing w:after="0" w:line="255" w:lineRule="auto"/>
        <w:tabs>
          <w:tab w:leader="none" w:pos="7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product of 18 and the monthly COBRA premium on December 30, 2011 for the type of group health plan coverage in effect for Mr. Peters on December 30, 2011. Under Mr. Peters’ Change in Control Agreement, if his termination is due to death or disability after the change in control, Mr. Peters is entitled to his pro-rated 2011 target bonus, which is $477,764.</w:t>
      </w:r>
    </w:p>
    <w:p>
      <w:pPr>
        <w:spacing w:after="0" w:line="63" w:lineRule="exact"/>
        <w:rPr>
          <w:rFonts w:ascii="Arial" w:cs="Arial" w:eastAsia="Arial" w:hAnsi="Arial"/>
          <w:sz w:val="18"/>
          <w:szCs w:val="18"/>
          <w:color w:val="auto"/>
        </w:rPr>
      </w:pPr>
    </w:p>
    <w:p>
      <w:pPr>
        <w:jc w:val="both"/>
        <w:ind w:left="460" w:hanging="452"/>
        <w:spacing w:after="0" w:line="235"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Mr. Peters’ Change in Control Agreement equal to his highest annual bonus earned under the bonus plan with respect to the 2008, 2009 and 2010 fiscal years; provided that, he was employed by the company at the end of the 2011 fiscal year. Mr. Peters’ highest bonus was earned under the bonus plan during the 2009 fiscal year.</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Reflects the value of a 24-month outplacement services package under Mr. Peters’ Change in Control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a Change in Control</w:t>
      </w:r>
    </w:p>
    <w:p>
      <w:pPr>
        <w:spacing w:after="0" w:line="21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Steve Schmidt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22"/>
              <w:spacing w:after="0" w:line="132" w:lineRule="exact"/>
              <w:rPr>
                <w:sz w:val="20"/>
                <w:szCs w:val="20"/>
                <w:color w:val="auto"/>
              </w:rPr>
            </w:pPr>
            <w:r>
              <w:rPr>
                <w:rFonts w:ascii="Arial" w:cs="Arial" w:eastAsia="Arial" w:hAnsi="Arial"/>
                <w:sz w:val="14"/>
                <w:szCs w:val="14"/>
                <w:color w:val="auto"/>
                <w:w w:val="90"/>
              </w:rPr>
              <w:t>Involuntary</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01"/>
              <w:spacing w:after="0" w:line="132" w:lineRule="exact"/>
              <w:rPr>
                <w:sz w:val="20"/>
                <w:szCs w:val="20"/>
                <w:color w:val="auto"/>
              </w:rPr>
            </w:pPr>
            <w:r>
              <w:rPr>
                <w:rFonts w:ascii="Arial" w:cs="Arial" w:eastAsia="Arial" w:hAnsi="Arial"/>
                <w:sz w:val="14"/>
                <w:szCs w:val="14"/>
                <w:color w:val="auto"/>
                <w:w w:val="93"/>
              </w:rPr>
              <w:t>Involuntary</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102"/>
              <w:spacing w:after="0" w:line="149" w:lineRule="exact"/>
              <w:rPr>
                <w:sz w:val="20"/>
                <w:szCs w:val="20"/>
                <w:color w:val="auto"/>
              </w:rPr>
            </w:pPr>
            <w:r>
              <w:rPr>
                <w:rFonts w:ascii="Arial" w:cs="Arial" w:eastAsia="Arial" w:hAnsi="Arial"/>
                <w:sz w:val="14"/>
                <w:szCs w:val="14"/>
                <w:color w:val="auto"/>
                <w:w w:val="88"/>
              </w:rPr>
              <w:t>Termination or</w:t>
            </w:r>
          </w:p>
        </w:tc>
        <w:tc>
          <w:tcPr>
            <w:tcW w:w="124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88"/>
              </w:rPr>
              <w:t>Termination or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122"/>
              <w:spacing w:after="0" w:line="149" w:lineRule="exact"/>
              <w:rPr>
                <w:sz w:val="20"/>
                <w:szCs w:val="20"/>
                <w:color w:val="auto"/>
              </w:rPr>
            </w:pPr>
            <w:r>
              <w:rPr>
                <w:rFonts w:ascii="Arial" w:cs="Arial" w:eastAsia="Arial" w:hAnsi="Arial"/>
                <w:sz w:val="14"/>
                <w:szCs w:val="14"/>
                <w:color w:val="auto"/>
                <w:w w:val="89"/>
              </w:rPr>
              <w:t>Resignation w/</w:t>
            </w:r>
          </w:p>
        </w:tc>
        <w:tc>
          <w:tcPr>
            <w:tcW w:w="1240" w:type="dxa"/>
            <w:vAlign w:val="bottom"/>
            <w:gridSpan w:val="2"/>
          </w:tcPr>
          <w:p>
            <w:pPr>
              <w:jc w:val="center"/>
              <w:ind w:right="141"/>
              <w:spacing w:after="0" w:line="149" w:lineRule="exact"/>
              <w:rPr>
                <w:sz w:val="20"/>
                <w:szCs w:val="20"/>
                <w:color w:val="auto"/>
              </w:rPr>
            </w:pPr>
            <w:r>
              <w:rPr>
                <w:rFonts w:ascii="Arial" w:cs="Arial" w:eastAsia="Arial" w:hAnsi="Arial"/>
                <w:sz w:val="14"/>
                <w:szCs w:val="14"/>
                <w:color w:val="auto"/>
                <w:w w:val="89"/>
              </w:rPr>
              <w:t>Resignation w/</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122"/>
              <w:spacing w:after="0" w:line="149" w:lineRule="exact"/>
              <w:rPr>
                <w:sz w:val="20"/>
                <w:szCs w:val="20"/>
                <w:color w:val="auto"/>
              </w:rPr>
            </w:pPr>
            <w:r>
              <w:rPr>
                <w:rFonts w:ascii="Arial" w:cs="Arial" w:eastAsia="Arial" w:hAnsi="Arial"/>
                <w:sz w:val="14"/>
                <w:szCs w:val="14"/>
                <w:color w:val="auto"/>
                <w:w w:val="85"/>
              </w:rPr>
              <w:t>Good Reason</w:t>
            </w:r>
          </w:p>
        </w:tc>
        <w:tc>
          <w:tcPr>
            <w:tcW w:w="1240" w:type="dxa"/>
            <w:vAlign w:val="bottom"/>
            <w:gridSpan w:val="2"/>
          </w:tcPr>
          <w:p>
            <w:pPr>
              <w:jc w:val="center"/>
              <w:ind w:right="141"/>
              <w:spacing w:after="0" w:line="149" w:lineRule="exact"/>
              <w:rPr>
                <w:sz w:val="20"/>
                <w:szCs w:val="20"/>
                <w:color w:val="auto"/>
              </w:rPr>
            </w:pPr>
            <w:r>
              <w:rPr>
                <w:rFonts w:ascii="Arial" w:cs="Arial" w:eastAsia="Arial" w:hAnsi="Arial"/>
                <w:sz w:val="14"/>
                <w:szCs w:val="14"/>
                <w:color w:val="auto"/>
                <w:w w:val="85"/>
              </w:rPr>
              <w:t>Good Reason</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3"/>
              </w:rPr>
              <w:t>(1)</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88"/>
              </w:rPr>
              <w:t>Prior To</w:t>
            </w:r>
          </w:p>
        </w:tc>
        <w:tc>
          <w:tcPr>
            <w:tcW w:w="124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1"/>
              </w:rPr>
              <w:t>Upon or After</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84"/>
              </w:rPr>
              <w:t>Change in</w:t>
            </w:r>
          </w:p>
        </w:tc>
        <w:tc>
          <w:tcPr>
            <w:tcW w:w="180" w:type="dxa"/>
            <w:vAlign w:val="bottom"/>
          </w:tcPr>
          <w:p>
            <w:pPr>
              <w:spacing w:after="0"/>
              <w:rPr>
                <w:sz w:val="12"/>
                <w:szCs w:val="12"/>
                <w:color w:val="auto"/>
              </w:rPr>
            </w:pPr>
          </w:p>
        </w:tc>
        <w:tc>
          <w:tcPr>
            <w:tcW w:w="1060" w:type="dxa"/>
            <w:vAlign w:val="bottom"/>
          </w:tcPr>
          <w:p>
            <w:pPr>
              <w:jc w:val="center"/>
              <w:ind w:right="301"/>
              <w:spacing w:after="0" w:line="149" w:lineRule="exact"/>
              <w:rPr>
                <w:sz w:val="20"/>
                <w:szCs w:val="20"/>
                <w:color w:val="auto"/>
              </w:rPr>
            </w:pPr>
            <w:r>
              <w:rPr>
                <w:rFonts w:ascii="Arial" w:cs="Arial" w:eastAsia="Arial" w:hAnsi="Arial"/>
                <w:sz w:val="14"/>
                <w:szCs w:val="14"/>
                <w:color w:val="auto"/>
                <w:w w:val="87"/>
              </w:rPr>
              <w:t>Change in</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for All Other</w:t>
            </w:r>
          </w:p>
        </w:tc>
        <w:tc>
          <w:tcPr>
            <w:tcW w:w="1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Change in Control</w:t>
            </w:r>
          </w:p>
        </w:tc>
      </w:tr>
      <w:tr>
        <w:trPr>
          <w:trHeight w:val="149"/>
        </w:trPr>
        <w:tc>
          <w:tcPr>
            <w:tcW w:w="2560" w:type="dxa"/>
            <w:vAlign w:val="bottom"/>
          </w:tcPr>
          <w:p>
            <w:pPr>
              <w:spacing w:after="0"/>
              <w:rPr>
                <w:sz w:val="12"/>
                <w:szCs w:val="12"/>
                <w:color w:val="auto"/>
              </w:rPr>
            </w:pP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Resulting from</w:t>
            </w: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Resulting from</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Resulting from</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Termination</w:t>
            </w:r>
          </w:p>
        </w:tc>
        <w:tc>
          <w:tcPr>
            <w:tcW w:w="200" w:type="dxa"/>
            <w:vAlign w:val="bottom"/>
          </w:tcPr>
          <w:p>
            <w:pPr>
              <w:spacing w:after="0"/>
              <w:rPr>
                <w:sz w:val="12"/>
                <w:szCs w:val="12"/>
                <w:color w:val="auto"/>
              </w:rPr>
            </w:pPr>
          </w:p>
        </w:tc>
        <w:tc>
          <w:tcPr>
            <w:tcW w:w="106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2"/>
              </w:rPr>
              <w:t>Control</w:t>
            </w:r>
          </w:p>
        </w:tc>
        <w:tc>
          <w:tcPr>
            <w:tcW w:w="180" w:type="dxa"/>
            <w:vAlign w:val="bottom"/>
          </w:tcPr>
          <w:p>
            <w:pPr>
              <w:spacing w:after="0"/>
              <w:rPr>
                <w:sz w:val="12"/>
                <w:szCs w:val="12"/>
                <w:color w:val="auto"/>
              </w:rPr>
            </w:pPr>
          </w:p>
        </w:tc>
        <w:tc>
          <w:tcPr>
            <w:tcW w:w="1060" w:type="dxa"/>
            <w:vAlign w:val="bottom"/>
          </w:tcPr>
          <w:p>
            <w:pPr>
              <w:jc w:val="center"/>
              <w:ind w:right="321"/>
              <w:spacing w:after="0" w:line="149" w:lineRule="exact"/>
              <w:rPr>
                <w:sz w:val="20"/>
                <w:szCs w:val="20"/>
                <w:color w:val="auto"/>
              </w:rPr>
            </w:pPr>
            <w:r>
              <w:rPr>
                <w:rFonts w:ascii="Arial" w:cs="Arial" w:eastAsia="Arial" w:hAnsi="Arial"/>
                <w:sz w:val="14"/>
                <w:szCs w:val="14"/>
                <w:color w:val="auto"/>
                <w:w w:val="92"/>
              </w:rPr>
              <w:t>Control</w:t>
            </w:r>
          </w:p>
        </w:tc>
        <w:tc>
          <w:tcPr>
            <w:tcW w:w="200" w:type="dxa"/>
            <w:vAlign w:val="bottom"/>
          </w:tcPr>
          <w:p>
            <w:pPr>
              <w:spacing w:after="0"/>
              <w:rPr>
                <w:sz w:val="12"/>
                <w:szCs w:val="12"/>
                <w:color w:val="auto"/>
              </w:rPr>
            </w:pPr>
          </w:p>
        </w:tc>
        <w:tc>
          <w:tcPr>
            <w:tcW w:w="70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79"/>
              </w:rPr>
              <w:t>Reasons</w:t>
            </w:r>
          </w:p>
        </w:tc>
        <w:tc>
          <w:tcPr>
            <w:tcW w:w="2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without</w:t>
            </w:r>
          </w:p>
        </w:tc>
      </w:tr>
      <w:tr>
        <w:trPr>
          <w:trHeight w:val="173"/>
        </w:trPr>
        <w:tc>
          <w:tcPr>
            <w:tcW w:w="2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85"/>
              </w:rPr>
              <w:t>Death</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2"/>
              </w:rPr>
              <w:t>Disability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87"/>
              </w:rPr>
              <w:t>Retirement</w:t>
            </w: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for Cause</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87"/>
              </w:rPr>
              <w:t>(w/o Cause)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color w:val="auto"/>
                <w:w w:val="87"/>
              </w:rPr>
              <w:t>(w/o Cause)</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(Voluntary)</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89"/>
              </w:rPr>
              <w:t>Termination</w:t>
            </w:r>
          </w:p>
        </w:tc>
      </w:tr>
      <w:tr>
        <w:trPr>
          <w:trHeight w:val="142"/>
        </w:trPr>
        <w:tc>
          <w:tcPr>
            <w:tcW w:w="25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97"/>
              <w:spacing w:after="0" w:line="143" w:lineRule="exact"/>
              <w:rPr>
                <w:sz w:val="20"/>
                <w:szCs w:val="20"/>
                <w:color w:val="auto"/>
              </w:rPr>
            </w:pPr>
            <w:r>
              <w:rPr>
                <w:rFonts w:ascii="Arial" w:cs="Arial" w:eastAsia="Arial" w:hAnsi="Arial"/>
                <w:sz w:val="14"/>
                <w:szCs w:val="14"/>
                <w:color w:val="auto"/>
                <w:w w:val="81"/>
              </w:rPr>
              <w:t>(a)</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37"/>
              <w:spacing w:after="0" w:line="143" w:lineRule="exact"/>
              <w:rPr>
                <w:sz w:val="20"/>
                <w:szCs w:val="20"/>
                <w:color w:val="auto"/>
              </w:rPr>
            </w:pPr>
            <w:r>
              <w:rPr>
                <w:rFonts w:ascii="Arial" w:cs="Arial" w:eastAsia="Arial" w:hAnsi="Arial"/>
                <w:sz w:val="14"/>
                <w:szCs w:val="14"/>
                <w:color w:val="auto"/>
                <w:w w:val="93"/>
              </w:rPr>
              <w:t>(b)</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39"/>
              <w:spacing w:after="0" w:line="143" w:lineRule="exact"/>
              <w:rPr>
                <w:sz w:val="20"/>
                <w:szCs w:val="20"/>
                <w:color w:val="auto"/>
              </w:rPr>
            </w:pPr>
            <w:r>
              <w:rPr>
                <w:rFonts w:ascii="Arial" w:cs="Arial" w:eastAsia="Arial" w:hAnsi="Arial"/>
                <w:sz w:val="14"/>
                <w:szCs w:val="14"/>
                <w:color w:val="auto"/>
                <w:w w:val="85"/>
              </w:rPr>
              <w:t>(c)</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color w:val="auto"/>
              </w:rPr>
              <w:t>(d)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22"/>
              <w:spacing w:after="0" w:line="143" w:lineRule="exact"/>
              <w:rPr>
                <w:sz w:val="20"/>
                <w:szCs w:val="20"/>
                <w:color w:val="auto"/>
              </w:rPr>
            </w:pPr>
            <w:r>
              <w:rPr>
                <w:rFonts w:ascii="Arial" w:cs="Arial" w:eastAsia="Arial" w:hAnsi="Arial"/>
                <w:sz w:val="14"/>
                <w:szCs w:val="14"/>
                <w:color w:val="auto"/>
                <w:w w:val="81"/>
              </w:rPr>
              <w:t>(e)</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21"/>
              <w:spacing w:after="0" w:line="143" w:lineRule="exact"/>
              <w:rPr>
                <w:sz w:val="20"/>
                <w:szCs w:val="20"/>
                <w:color w:val="auto"/>
              </w:rPr>
            </w:pPr>
            <w:r>
              <w:rPr>
                <w:rFonts w:ascii="Arial" w:cs="Arial" w:eastAsia="Arial" w:hAnsi="Arial"/>
                <w:sz w:val="14"/>
                <w:szCs w:val="14"/>
                <w:color w:val="auto"/>
              </w:rPr>
              <w:t>(f)</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37"/>
              <w:spacing w:after="0" w:line="143" w:lineRule="exact"/>
              <w:rPr>
                <w:sz w:val="20"/>
                <w:szCs w:val="20"/>
                <w:color w:val="auto"/>
              </w:rPr>
            </w:pPr>
            <w:r>
              <w:rPr>
                <w:rFonts w:ascii="Arial" w:cs="Arial" w:eastAsia="Arial" w:hAnsi="Arial"/>
                <w:sz w:val="14"/>
                <w:szCs w:val="14"/>
                <w:color w:val="auto"/>
                <w:w w:val="93"/>
              </w:rPr>
              <w:t>(g)</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color w:val="auto"/>
                <w:w w:val="93"/>
              </w:rPr>
              <w:t>(h)</w:t>
            </w: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468,750 (6)</w:t>
            </w:r>
          </w:p>
        </w:tc>
      </w:t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Services</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30,000 (7)</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b w:val="1"/>
                <w:bCs w:val="1"/>
                <w:color w:val="auto"/>
              </w:rPr>
              <w:t>Long-Term Incentive or</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9"/>
        </w:trPr>
        <w:tc>
          <w:tcPr>
            <w:tcW w:w="2560" w:type="dxa"/>
            <w:vAlign w:val="bottom"/>
          </w:tcPr>
          <w:p>
            <w:pPr>
              <w:ind w:left="220"/>
              <w:spacing w:after="0"/>
              <w:rPr>
                <w:sz w:val="20"/>
                <w:szCs w:val="20"/>
                <w:color w:val="auto"/>
              </w:rPr>
            </w:pPr>
            <w:r>
              <w:rPr>
                <w:rFonts w:ascii="Arial" w:cs="Arial" w:eastAsia="Arial" w:hAnsi="Arial"/>
                <w:sz w:val="18"/>
                <w:szCs w:val="18"/>
                <w:b w:val="1"/>
                <w:bCs w:val="1"/>
                <w:color w:val="auto"/>
              </w:rPr>
              <w:t>Performance Plan</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2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 (2)</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8"/>
              </w:rPr>
              <w:t>375,835</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375,835</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375,835</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375,835</w:t>
            </w:r>
          </w:p>
        </w:tc>
      </w:tr>
      <w:tr>
        <w:trPr>
          <w:trHeight w:val="216"/>
        </w:trPr>
        <w:tc>
          <w:tcPr>
            <w:tcW w:w="2560" w:type="dxa"/>
            <w:vAlign w:val="bottom"/>
          </w:tcPr>
          <w:p>
            <w:pPr>
              <w:ind w:left="440"/>
              <w:spacing w:after="0"/>
              <w:rPr>
                <w:sz w:val="20"/>
                <w:szCs w:val="20"/>
                <w:color w:val="auto"/>
              </w:rPr>
            </w:pPr>
            <w:r>
              <w:rPr>
                <w:rFonts w:ascii="Arial" w:cs="Arial" w:eastAsia="Arial" w:hAnsi="Arial"/>
                <w:sz w:val="18"/>
                <w:szCs w:val="18"/>
                <w:color w:val="auto"/>
              </w:rPr>
              <w:t>Restricted Stock (3)</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7"/>
              <w:spacing w:after="0"/>
              <w:rPr>
                <w:sz w:val="20"/>
                <w:szCs w:val="20"/>
                <w:color w:val="auto"/>
              </w:rPr>
            </w:pPr>
            <w:r>
              <w:rPr>
                <w:rFonts w:ascii="Arial" w:cs="Arial" w:eastAsia="Arial" w:hAnsi="Arial"/>
                <w:sz w:val="18"/>
                <w:szCs w:val="18"/>
                <w:color w:val="auto"/>
                <w:w w:val="98"/>
              </w:rPr>
              <w:t>179,166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179,166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1"/>
              <w:spacing w:after="0"/>
              <w:rPr>
                <w:sz w:val="20"/>
                <w:szCs w:val="20"/>
                <w:color w:val="auto"/>
              </w:rPr>
            </w:pPr>
            <w:r>
              <w:rPr>
                <w:rFonts w:ascii="Arial" w:cs="Arial" w:eastAsia="Arial" w:hAnsi="Arial"/>
                <w:sz w:val="18"/>
                <w:szCs w:val="18"/>
                <w:color w:val="auto"/>
              </w:rPr>
              <w:t>179,166</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179,166</w:t>
            </w:r>
          </w:p>
        </w:tc>
      </w:tr>
      <w:tr>
        <w:trPr>
          <w:trHeight w:val="216"/>
        </w:trPr>
        <w:tc>
          <w:tcPr>
            <w:tcW w:w="2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Severance</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87"/>
              </w:rPr>
              <w:t>1,503,530 (4)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87"/>
              </w:rPr>
              <w:t>2,802,759 (5)</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for Mr. Schmidt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98"/>
              </w:rPr>
              <w:t>555,001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555,001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92"/>
              </w:rPr>
              <w:t>1,503,530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w w:val="92"/>
              </w:rPr>
              <w:t>3,387,760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1,023,751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Retirement is generally treated as a voluntary termination for all programs and agreements except the 2007 Long-Term Incentive Plan (“2007 LTIP”).</w:t>
      </w:r>
    </w:p>
    <w:p>
      <w:pPr>
        <w:spacing w:after="0" w:line="74"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stock options under the 2007 LTIP are included later in the “2007 Long-Term Incentive Plan Vesting” section. Reflects the value of all unvested stock options based on the closing price of the company’s stock on December 30, 2011.</w:t>
      </w:r>
    </w:p>
    <w:p>
      <w:pPr>
        <w:spacing w:after="0" w:line="74" w:lineRule="exact"/>
        <w:rPr>
          <w:rFonts w:ascii="Arial" w:cs="Arial" w:eastAsia="Arial" w:hAnsi="Arial"/>
          <w:sz w:val="21"/>
          <w:szCs w:val="21"/>
          <w:color w:val="auto"/>
          <w:vertAlign w:val="superscript"/>
        </w:rPr>
      </w:pPr>
    </w:p>
    <w:p>
      <w:pPr>
        <w:ind w:left="460" w:hanging="452"/>
        <w:spacing w:after="0" w:line="241" w:lineRule="auto"/>
        <w:tabs>
          <w:tab w:leader="none" w:pos="46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restricted stock under the 2007 LTIP are included later in the “2007 Long-Term Incentive Plan Vesting” section. Reflects the value of all unvested restricted stock based on the closing price of the company’s stock on December 30, 2011.</w:t>
      </w:r>
    </w:p>
    <w:p>
      <w:pPr>
        <w:spacing w:after="0" w:line="74" w:lineRule="exact"/>
        <w:rPr>
          <w:rFonts w:ascii="Arial" w:cs="Arial" w:eastAsia="Arial" w:hAnsi="Arial"/>
          <w:sz w:val="21"/>
          <w:szCs w:val="21"/>
          <w:color w:val="auto"/>
          <w:vertAlign w:val="superscript"/>
        </w:rPr>
      </w:pPr>
    </w:p>
    <w:p>
      <w:pPr>
        <w:jc w:val="both"/>
        <w:ind w:left="460" w:hanging="452"/>
        <w:spacing w:after="0" w:line="252" w:lineRule="auto"/>
        <w:tabs>
          <w:tab w:leader="none" w:pos="46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Reflects a payment under Mr. Schmidt’s Employment Offer Letter dated July 10, 2007, as amended December 31, 2008, equal to the sum of: (i) 1.5 times his base salary in effect on December 30, 2011, (ii) his 2011 pro-rata target bonus, and (iii) the product of 18 and the monthly COBRA premium on December 30, 2011 for the type of group health plan coverage in effect for Mr. Schmidt on December 30, 2011.</w:t>
      </w:r>
    </w:p>
    <w:p>
      <w:pPr>
        <w:spacing w:after="0" w:line="65" w:lineRule="exact"/>
        <w:rPr>
          <w:rFonts w:ascii="Arial" w:cs="Arial" w:eastAsia="Arial" w:hAnsi="Arial"/>
          <w:sz w:val="21"/>
          <w:szCs w:val="21"/>
          <w:color w:val="auto"/>
          <w:vertAlign w:val="superscript"/>
        </w:rPr>
      </w:pPr>
    </w:p>
    <w:p>
      <w:pPr>
        <w:jc w:val="both"/>
        <w:ind w:left="460" w:hanging="452"/>
        <w:spacing w:after="0" w:line="258" w:lineRule="auto"/>
        <w:tabs>
          <w:tab w:leader="none" w:pos="46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Reflects a payment under Mr. Schmidt’s Change in Control Agreement dated December 16, 2010 equal to the sum of: (i) two times the sum of: Mr. Schmidt’s base salary (including car allowance) in effect on December 30, 2011 and Mr. Schmidt’s 2011 target bonus, (ii) Mr. Schmidt’s pro-rated 2011 target bonus, (iii) the product of 18 and the monthly COBRA premium on December 30, 2011 for the type of group health plan coverage in effect for Mr. Schmidt on December 30, 2011. Under Mr. Schmidt’s Change in Control Agreement, if his termination is due to death or disability after the change in control, Mr. Schmidt is entitled to his pro¬rated 2011 target bonus, which is $477,764.</w:t>
      </w:r>
    </w:p>
    <w:p>
      <w:pPr>
        <w:spacing w:after="0" w:line="61" w:lineRule="exact"/>
        <w:rPr>
          <w:rFonts w:ascii="Arial" w:cs="Arial" w:eastAsia="Arial" w:hAnsi="Arial"/>
          <w:sz w:val="21"/>
          <w:szCs w:val="21"/>
          <w:color w:val="auto"/>
          <w:vertAlign w:val="superscript"/>
        </w:rPr>
      </w:pPr>
    </w:p>
    <w:p>
      <w:pPr>
        <w:jc w:val="both"/>
        <w:ind w:left="460" w:hanging="452"/>
        <w:spacing w:after="0" w:line="235"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Mr. Schmidt’s Change in Control Agreement equal to his highest annual bonus earned under the bonus plan with respect to the 2008, 2009 and 2010 fiscal years; provided that, he was employed by the company at the end of the 2011 fiscal year. Mr. Schmidt’s highest bonus was earned under the bonus plan during the 2009 fiscal year.</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Reflects the value of a 24-month outplacement services package under Mr. Schmidt’s Change in Control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a Change in Control</w:t>
      </w:r>
    </w:p>
    <w:p>
      <w:pPr>
        <w:spacing w:after="0" w:line="213"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Elisa D. Garcia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440"/>
              <w:spacing w:after="0" w:line="132" w:lineRule="exact"/>
              <w:rPr>
                <w:sz w:val="20"/>
                <w:szCs w:val="20"/>
                <w:color w:val="auto"/>
              </w:rPr>
            </w:pPr>
            <w:r>
              <w:rPr>
                <w:rFonts w:ascii="Arial" w:cs="Arial" w:eastAsia="Arial" w:hAnsi="Arial"/>
                <w:sz w:val="14"/>
                <w:szCs w:val="14"/>
                <w:color w:val="auto"/>
                <w:w w:val="90"/>
              </w:rPr>
              <w:t>Involuntary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20"/>
              <w:spacing w:after="0" w:line="132" w:lineRule="exact"/>
              <w:rPr>
                <w:sz w:val="20"/>
                <w:szCs w:val="20"/>
                <w:color w:val="auto"/>
              </w:rPr>
            </w:pPr>
            <w:r>
              <w:rPr>
                <w:rFonts w:ascii="Arial" w:cs="Arial" w:eastAsia="Arial" w:hAnsi="Arial"/>
                <w:sz w:val="14"/>
                <w:szCs w:val="14"/>
                <w:color w:val="auto"/>
                <w:w w:val="90"/>
              </w:rPr>
              <w:t>Involuntary</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Termination or</w:t>
            </w:r>
          </w:p>
        </w:tc>
        <w:tc>
          <w:tcPr>
            <w:tcW w:w="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Termination 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Resignation w/</w:t>
            </w:r>
          </w:p>
        </w:tc>
        <w:tc>
          <w:tcPr>
            <w:tcW w:w="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Resignation w/</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5"/>
              </w:rPr>
              <w:t>Good Reason</w:t>
            </w:r>
          </w:p>
        </w:tc>
        <w:tc>
          <w:tcPr>
            <w:tcW w:w="10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5"/>
              </w:rPr>
              <w:t>Good Reason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w w:val="86"/>
              </w:rPr>
              <w:t>Termination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3"/>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Prior To</w:t>
            </w:r>
          </w:p>
        </w:tc>
        <w:tc>
          <w:tcPr>
            <w:tcW w:w="1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Upon or After</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9"/>
              </w:rPr>
              <w:t>Termination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Resulting</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Termination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4"/>
              </w:rPr>
              <w:t>Change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4"/>
              </w:rPr>
              <w:t>Change in</w:t>
            </w: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w w:val="90"/>
              </w:rPr>
              <w:t>for All Other</w:t>
            </w:r>
          </w:p>
        </w:tc>
        <w:tc>
          <w:tcPr>
            <w:tcW w:w="2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Change in Control</w:t>
            </w: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2"/>
              </w:rPr>
              <w:t>from</w:t>
            </w:r>
          </w:p>
        </w:tc>
        <w:tc>
          <w:tcPr>
            <w:tcW w:w="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8"/>
              </w:rPr>
              <w:t>Resulting from</w:t>
            </w:r>
          </w:p>
        </w:tc>
        <w:tc>
          <w:tcPr>
            <w:tcW w:w="2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88"/>
              </w:rPr>
              <w:t>Resulting from</w:t>
            </w:r>
          </w:p>
        </w:tc>
        <w:tc>
          <w:tcPr>
            <w:tcW w:w="2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6"/>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Control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Control</w:t>
            </w:r>
          </w:p>
        </w:tc>
        <w:tc>
          <w:tcPr>
            <w:tcW w:w="10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color w:val="auto"/>
              </w:rPr>
              <w:t>Reasons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without</w:t>
            </w:r>
          </w:p>
        </w:tc>
      </w:tr>
      <w:tr>
        <w:trPr>
          <w:trHeight w:val="173"/>
        </w:trPr>
        <w:tc>
          <w:tcPr>
            <w:tcW w:w="2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5"/>
              </w:rPr>
              <w:t>Death</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6"/>
              </w:rPr>
              <w:t>Disability</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7"/>
              </w:rPr>
              <w:t>Retirement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5"/>
              </w:rPr>
              <w:t>for Cause</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7"/>
              </w:rPr>
              <w:t>(w/o Cause)</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color w:val="auto"/>
                <w:w w:val="87"/>
              </w:rPr>
              <w:t>(w/o Cause)</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3"/>
              </w:rPr>
              <w:t>(Voluntary)</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9"/>
              </w:rPr>
              <w:t>Termination</w:t>
            </w:r>
          </w:p>
        </w:tc>
      </w:tr>
      <w:tr>
        <w:trPr>
          <w:trHeight w:val="142"/>
        </w:trPr>
        <w:tc>
          <w:tcPr>
            <w:tcW w:w="2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9"/>
              <w:spacing w:after="0" w:line="143" w:lineRule="exact"/>
              <w:rPr>
                <w:sz w:val="20"/>
                <w:szCs w:val="20"/>
                <w:color w:val="auto"/>
              </w:rPr>
            </w:pPr>
            <w:r>
              <w:rPr>
                <w:rFonts w:ascii="Arial" w:cs="Arial" w:eastAsia="Arial" w:hAnsi="Arial"/>
                <w:sz w:val="14"/>
                <w:szCs w:val="14"/>
                <w:color w:val="auto"/>
                <w:w w:val="81"/>
              </w:rPr>
              <w:t>(a)</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7"/>
              <w:spacing w:after="0" w:line="143" w:lineRule="exact"/>
              <w:rPr>
                <w:sz w:val="20"/>
                <w:szCs w:val="20"/>
                <w:color w:val="auto"/>
              </w:rPr>
            </w:pPr>
            <w:r>
              <w:rPr>
                <w:rFonts w:ascii="Arial" w:cs="Arial" w:eastAsia="Arial" w:hAnsi="Arial"/>
                <w:sz w:val="14"/>
                <w:szCs w:val="14"/>
                <w:color w:val="auto"/>
                <w:w w:val="93"/>
              </w:rPr>
              <w:t>(b)</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
              <w:spacing w:after="0" w:line="143" w:lineRule="exact"/>
              <w:rPr>
                <w:sz w:val="20"/>
                <w:szCs w:val="20"/>
                <w:color w:val="auto"/>
              </w:rPr>
            </w:pPr>
            <w:r>
              <w:rPr>
                <w:rFonts w:ascii="Arial" w:cs="Arial" w:eastAsia="Arial" w:hAnsi="Arial"/>
                <w:sz w:val="14"/>
                <w:szCs w:val="14"/>
                <w:color w:val="auto"/>
                <w:w w:val="85"/>
              </w:rPr>
              <w:t>(c)</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color w:val="auto"/>
              </w:rPr>
              <w:t>(d)</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color w:val="auto"/>
                <w:w w:val="81"/>
              </w:rPr>
              <w:t>(e)</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520"/>
              <w:spacing w:after="0" w:line="143" w:lineRule="exact"/>
              <w:rPr>
                <w:sz w:val="20"/>
                <w:szCs w:val="20"/>
                <w:color w:val="auto"/>
              </w:rPr>
            </w:pPr>
            <w:r>
              <w:rPr>
                <w:rFonts w:ascii="Arial" w:cs="Arial" w:eastAsia="Arial" w:hAnsi="Arial"/>
                <w:sz w:val="14"/>
                <w:szCs w:val="14"/>
                <w:color w:val="auto"/>
              </w:rPr>
              <w:t>(f)</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60"/>
              <w:spacing w:after="0" w:line="143" w:lineRule="exact"/>
              <w:rPr>
                <w:sz w:val="20"/>
                <w:szCs w:val="20"/>
                <w:color w:val="auto"/>
              </w:rPr>
            </w:pPr>
            <w:r>
              <w:rPr>
                <w:rFonts w:ascii="Arial" w:cs="Arial" w:eastAsia="Arial" w:hAnsi="Arial"/>
                <w:sz w:val="14"/>
                <w:szCs w:val="14"/>
                <w:color w:val="auto"/>
              </w:rPr>
              <w:t>(g)</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color w:val="auto"/>
                <w:w w:val="93"/>
              </w:rPr>
              <w:t>(h)</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308,000 (6)</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Outplacement Services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 (7)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2"/>
        </w:trPr>
        <w:tc>
          <w:tcPr>
            <w:tcW w:w="2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Long-Term Incentive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9"/>
        </w:trPr>
        <w:tc>
          <w:tcPr>
            <w:tcW w:w="278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Performance Plan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7"/>
        </w:trPr>
        <w:tc>
          <w:tcPr>
            <w:tcW w:w="2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Options (2)</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89,531</w:t>
            </w:r>
          </w:p>
        </w:tc>
        <w:tc>
          <w:tcPr>
            <w:tcW w:w="3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ind w:left="440"/>
              <w:spacing w:after="0"/>
              <w:rPr>
                <w:sz w:val="20"/>
                <w:szCs w:val="20"/>
                <w:color w:val="auto"/>
              </w:rPr>
            </w:pPr>
            <w:r>
              <w:rPr>
                <w:rFonts w:ascii="Arial" w:cs="Arial" w:eastAsia="Arial" w:hAnsi="Arial"/>
                <w:sz w:val="18"/>
                <w:szCs w:val="18"/>
                <w:color w:val="auto"/>
              </w:rPr>
              <w:t>Restricted Stock (3)</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102,381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102,381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102,381</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102,381</w:t>
            </w:r>
          </w:p>
        </w:tc>
        <w:tc>
          <w:tcPr>
            <w:tcW w:w="30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Severance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2,028,555 (4)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2,958,133 (5)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Total for Ms. Garcia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191,912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191,912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2,028,555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3,180,045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499,912</w:t>
            </w:r>
          </w:p>
        </w:tc>
        <w:tc>
          <w:tcPr>
            <w:tcW w:w="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20"/>
          <w:szCs w:val="20"/>
          <w:color w:val="auto"/>
          <w:vertAlign w:val="superscript"/>
        </w:rPr>
      </w:pPr>
      <w:r>
        <w:rPr>
          <w:rFonts w:ascii="Arial" w:cs="Arial" w:eastAsia="Arial" w:hAnsi="Arial"/>
          <w:sz w:val="16"/>
          <w:szCs w:val="16"/>
          <w:color w:val="auto"/>
        </w:rPr>
        <w:t>Retirement is generally treated as a voluntary termination for all programs and agreements except the 2007 Long-Term Incentive Plan (“2007 LTIP”).</w:t>
      </w:r>
    </w:p>
    <w:p>
      <w:pPr>
        <w:spacing w:after="0" w:line="74"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73"/>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stock options under the 2007 LTIP are included later in the “2007 Long-Term Incentive Plan Vesting” section. Reflects the value of all unvested stock options based on the closing price of the company’s stock on December 30, 2011.</w:t>
      </w:r>
    </w:p>
    <w:p>
      <w:pPr>
        <w:spacing w:after="0" w:line="74" w:lineRule="exact"/>
        <w:rPr>
          <w:rFonts w:ascii="Arial" w:cs="Arial" w:eastAsia="Arial" w:hAnsi="Arial"/>
          <w:sz w:val="21"/>
          <w:szCs w:val="21"/>
          <w:color w:val="auto"/>
          <w:vertAlign w:val="superscript"/>
        </w:rPr>
      </w:pPr>
    </w:p>
    <w:p>
      <w:pPr>
        <w:ind w:left="460" w:hanging="452"/>
        <w:spacing w:after="0" w:line="241" w:lineRule="auto"/>
        <w:tabs>
          <w:tab w:leader="none" w:pos="460" w:val="left"/>
        </w:tabs>
        <w:numPr>
          <w:ilvl w:val="0"/>
          <w:numId w:val="73"/>
        </w:numPr>
        <w:rPr>
          <w:rFonts w:ascii="Arial" w:cs="Arial" w:eastAsia="Arial" w:hAnsi="Arial"/>
          <w:sz w:val="21"/>
          <w:szCs w:val="21"/>
          <w:color w:val="auto"/>
          <w:vertAlign w:val="superscript"/>
        </w:rPr>
      </w:pPr>
      <w:r>
        <w:rPr>
          <w:rFonts w:ascii="Arial" w:cs="Arial" w:eastAsia="Arial" w:hAnsi="Arial"/>
          <w:sz w:val="17"/>
          <w:szCs w:val="17"/>
          <w:color w:val="auto"/>
        </w:rPr>
        <w:t>A description of the vesting provisions for restricted stock under the 2007 LTIP are included later in the “2007 Long-Term Incentive Plan Vesting” section. Reflects the value of all unvested restricted stock based on the closing price of the company’s stock on December 30, 2011.</w:t>
      </w:r>
    </w:p>
    <w:p>
      <w:pPr>
        <w:spacing w:after="0" w:line="74" w:lineRule="exact"/>
        <w:rPr>
          <w:rFonts w:ascii="Arial" w:cs="Arial" w:eastAsia="Arial" w:hAnsi="Arial"/>
          <w:sz w:val="21"/>
          <w:szCs w:val="21"/>
          <w:color w:val="auto"/>
          <w:vertAlign w:val="superscript"/>
        </w:rPr>
      </w:pPr>
    </w:p>
    <w:p>
      <w:pPr>
        <w:jc w:val="both"/>
        <w:ind w:left="460" w:hanging="452"/>
        <w:spacing w:after="0" w:line="241" w:lineRule="auto"/>
        <w:tabs>
          <w:tab w:leader="none" w:pos="460" w:val="left"/>
        </w:tabs>
        <w:numPr>
          <w:ilvl w:val="0"/>
          <w:numId w:val="73"/>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Ms. Garcia’s Employment Offer Letter dated May 15, 2007, as amended December 31, 2008, equal to the sum of: (i) 1.5 times her base salary in effect on December 30, 2011, (ii) her 2011 pro-rata bonus at the earned rate, and (iii) the product of 18 and the difference between the monthly COBRA premium on December 30, 2011 for the type of group health plan coverage in effect for Ms. Garcia on December 30, 2011 and the active employee for such coverage. In addition, under Ms. Garcia’s Retention Agreement dated November 2, 2010, she is entitled to a special retention payment of $1,000,000.</w:t>
      </w:r>
    </w:p>
    <w:p>
      <w:pPr>
        <w:spacing w:after="0" w:line="76" w:lineRule="exact"/>
        <w:rPr>
          <w:rFonts w:ascii="Arial" w:cs="Arial" w:eastAsia="Arial" w:hAnsi="Arial"/>
          <w:sz w:val="22"/>
          <w:szCs w:val="22"/>
          <w:color w:val="auto"/>
          <w:vertAlign w:val="superscript"/>
        </w:rPr>
      </w:pPr>
    </w:p>
    <w:p>
      <w:pPr>
        <w:jc w:val="both"/>
        <w:ind w:left="460" w:hanging="452"/>
        <w:spacing w:after="0" w:line="254" w:lineRule="auto"/>
        <w:tabs>
          <w:tab w:leader="none" w:pos="460" w:val="left"/>
        </w:tabs>
        <w:numPr>
          <w:ilvl w:val="0"/>
          <w:numId w:val="73"/>
        </w:numPr>
        <w:rPr>
          <w:rFonts w:ascii="Arial" w:cs="Arial" w:eastAsia="Arial" w:hAnsi="Arial"/>
          <w:sz w:val="20"/>
          <w:szCs w:val="20"/>
          <w:color w:val="auto"/>
          <w:vertAlign w:val="superscript"/>
        </w:rPr>
      </w:pPr>
      <w:r>
        <w:rPr>
          <w:rFonts w:ascii="Arial" w:cs="Arial" w:eastAsia="Arial" w:hAnsi="Arial"/>
          <w:sz w:val="16"/>
          <w:szCs w:val="16"/>
          <w:color w:val="auto"/>
        </w:rPr>
        <w:t>Reflects a payment under Ms. Garcia’s Change in Control Agreement dated December 17, 2010 equal to the sum of: (i) two times the sum of: Ms. Garcia’s base salary (including car allowance) in effect on December 30, 2011 and Ms. Garcia’s 2011 target bonus, (ii) Ms. Garcia’s pro-rated 2011 target bonus,</w:t>
      </w:r>
    </w:p>
    <w:p>
      <w:pPr>
        <w:jc w:val="both"/>
        <w:ind w:left="460" w:hanging="6"/>
        <w:spacing w:after="0" w:line="254" w:lineRule="auto"/>
        <w:tabs>
          <w:tab w:leader="none" w:pos="78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product of 18 and the monthly COBRA premium on December 30, 2011 for the type of group health plan coverage in effect for Ms. Garcia on December 30, 2011. In addition, under Ms. Garcia’s Retention Agreement, she is entitled to a special retention payment of $1,000,000. Under Ms. Garica’s Change in Control Agreement, if her termination is due to death or disability after the change in control, Ms. Garcia is entitled to her pro-rated 2011 target bonus, which is $313,923.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35" w:lineRule="auto"/>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Reflects a payment under Ms. Garcia’s Change in Control Agreement equal to her highest annual bonus earned under the bonus plan with respect to the 2008, 2009 and 2010 fiscal years; provided that, she was employed by the company at the end of the 2011 fiscal year. Ms. Garcia’s highest bonus was earned under the bonus plan during the 2009 fiscal year.</w:t>
      </w:r>
    </w:p>
    <w:p>
      <w:pPr>
        <w:spacing w:after="0" w:line="4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Reflects the value of a 24-month outplacement services package under Ms. Garcia’s Change in Control Agreement.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quantifies the termination payment amounts under Mr. Brown’s Executive Employment Agreement based on his triggering event which occurred as of September 26, 2011.</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Charles Brown</w:t>
      </w:r>
    </w:p>
    <w:p>
      <w:pPr>
        <w:spacing w:after="0" w:line="13" w:lineRule="exact"/>
        <w:rPr>
          <w:sz w:val="20"/>
          <w:szCs w:val="20"/>
          <w:color w:val="auto"/>
        </w:rPr>
      </w:pPr>
    </w:p>
    <w:tbl>
      <w:tblPr>
        <w:tblLayout w:type="fixed"/>
        <w:tblInd w:w="18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78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218"/>
              <w:spacing w:after="0" w:line="132" w:lineRule="exact"/>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Involuntary Termination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960" w:type="dxa"/>
            <w:vAlign w:val="bottom"/>
            <w:gridSpan w:val="4"/>
          </w:tcPr>
          <w:p>
            <w:pPr>
              <w:ind w:left="2280"/>
              <w:spacing w:after="0" w:line="149" w:lineRule="exact"/>
              <w:rPr>
                <w:sz w:val="20"/>
                <w:szCs w:val="20"/>
                <w:color w:val="auto"/>
              </w:rPr>
            </w:pPr>
            <w:r>
              <w:rPr>
                <w:rFonts w:ascii="Arial" w:cs="Arial" w:eastAsia="Arial" w:hAnsi="Arial"/>
                <w:sz w:val="14"/>
                <w:szCs w:val="14"/>
                <w:color w:val="auto"/>
                <w:w w:val="91"/>
              </w:rPr>
              <w:t>Resignation w/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Prior To Change in Control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7"/>
              </w:rPr>
              <w:t>(w/o Cause)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 (2)</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Benefits (3)</w:t>
            </w:r>
          </w:p>
        </w:tc>
        <w:tc>
          <w:tcPr>
            <w:tcW w:w="25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Award (4)</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Cash Severance (5)</w:t>
            </w:r>
          </w:p>
        </w:tc>
        <w:tc>
          <w:tcPr>
            <w:tcW w:w="25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for Mr. Brown</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hanging="452"/>
        <w:spacing w:after="0" w:line="239"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On September 26, 2011, Mr. Brown, President, International, was terminated without cause from employment. In connection with his termination without cause and pursuant to the terms of his previously negotiated Executive Employment Agreement, Mr. Brown received a severance payment of $4,401,209, which included a retention bonus that the Compensation Committee had negotiated with Mr. Brown in April 2010 in exchange for Mr. Brown waiving his walk-away right under his change in control agreement that was in effect at the time.</w:t>
      </w:r>
    </w:p>
    <w:p>
      <w:pPr>
        <w:spacing w:after="0" w:line="75" w:lineRule="exact"/>
        <w:rPr>
          <w:rFonts w:ascii="Arial" w:cs="Arial" w:eastAsia="Arial" w:hAnsi="Arial"/>
          <w:sz w:val="22"/>
          <w:szCs w:val="22"/>
          <w:color w:val="auto"/>
          <w:vertAlign w:val="superscript"/>
        </w:rPr>
      </w:pPr>
    </w:p>
    <w:p>
      <w:pPr>
        <w:ind w:left="460" w:right="20" w:hanging="452"/>
        <w:spacing w:after="0" w:line="228"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Represents Mr. Brown’s 2011 pro-rata bonus at target for the current fiscal year through September, 26, 2011 under the terms of his previously negotiated Executive Employment Agreement.</w:t>
      </w:r>
    </w:p>
    <w:p>
      <w:pPr>
        <w:spacing w:after="0" w:line="76" w:lineRule="exact"/>
        <w:rPr>
          <w:rFonts w:ascii="Arial" w:cs="Arial" w:eastAsia="Arial" w:hAnsi="Arial"/>
          <w:sz w:val="22"/>
          <w:szCs w:val="22"/>
          <w:color w:val="auto"/>
          <w:vertAlign w:val="superscript"/>
        </w:rPr>
      </w:pPr>
    </w:p>
    <w:p>
      <w:pPr>
        <w:jc w:val="both"/>
        <w:ind w:left="460" w:hanging="452"/>
        <w:spacing w:after="0" w:line="239"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Under Mr. Brown’s previously negotiated Executive Employment Agreement, he is eligible to receive: (i) the product of 18 and the monthly COBRA premium for the type of group health plan coverage Mr. Brown was enrolled in on September 26, 2011, and (ii) the product of 18 and the aggregate monthly premiums for disability insurance, life insurance, and accidental death and dismemberment insurance coverage Mr. Brown was enrolled in on September 26, 2011.</w:t>
      </w:r>
    </w:p>
    <w:p>
      <w:pPr>
        <w:spacing w:after="0" w:line="75" w:lineRule="exact"/>
        <w:rPr>
          <w:rFonts w:ascii="Arial" w:cs="Arial" w:eastAsia="Arial" w:hAnsi="Arial"/>
          <w:sz w:val="22"/>
          <w:szCs w:val="22"/>
          <w:color w:val="auto"/>
          <w:vertAlign w:val="superscript"/>
        </w:rPr>
      </w:pPr>
    </w:p>
    <w:p>
      <w:pPr>
        <w:jc w:val="both"/>
        <w:ind w:left="460" w:hanging="452"/>
        <w:spacing w:after="0" w:line="256" w:lineRule="auto"/>
        <w:tabs>
          <w:tab w:leader="none" w:pos="460" w:val="left"/>
        </w:tabs>
        <w:numPr>
          <w:ilvl w:val="0"/>
          <w:numId w:val="75"/>
        </w:numPr>
        <w:rPr>
          <w:rFonts w:ascii="Arial" w:cs="Arial" w:eastAsia="Arial" w:hAnsi="Arial"/>
          <w:sz w:val="21"/>
          <w:szCs w:val="21"/>
          <w:color w:val="auto"/>
          <w:vertAlign w:val="superscript"/>
        </w:rPr>
      </w:pPr>
      <w:r>
        <w:rPr>
          <w:rFonts w:ascii="Arial" w:cs="Arial" w:eastAsia="Arial" w:hAnsi="Arial"/>
          <w:sz w:val="17"/>
          <w:szCs w:val="17"/>
          <w:color w:val="auto"/>
        </w:rPr>
        <w:t>Reflects a retention bonus that the Compensation Committee had negotiated with Mr. Brown in April 2010 in exchange for Mr. Brown waiving his walk-away right under his change in control agreement that was in effect at the time. This amount reflects the payment of $1,000,000 accrued retention bonus accrued in 2010 as well as the remaining $2,000,000 retention bonus he became entitled to receive as a result of his termination by the company on September 26, 2011 as discussed in Footnotes 8 and 9 to the Summary Compensation Table.</w:t>
      </w:r>
    </w:p>
    <w:p>
      <w:pPr>
        <w:spacing w:after="0" w:line="62" w:lineRule="exact"/>
        <w:rPr>
          <w:rFonts w:ascii="Arial" w:cs="Arial" w:eastAsia="Arial" w:hAnsi="Arial"/>
          <w:sz w:val="21"/>
          <w:szCs w:val="21"/>
          <w:color w:val="auto"/>
          <w:vertAlign w:val="superscript"/>
        </w:rPr>
      </w:pPr>
    </w:p>
    <w:p>
      <w:pPr>
        <w:ind w:left="460" w:hanging="452"/>
        <w:spacing w:after="0" w:line="228"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Under Mr. Brown’s previously negotiated Executive Employment Agreement, he is eligible to receive a payment equal to 1.5 times the sum of his base salary in effect on September 26, 2011.</w:t>
      </w:r>
    </w:p>
    <w:p>
      <w:pPr>
        <w:spacing w:after="0" w:line="15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following table quantifies the termination payment amounts under Ms. Vanderlinde’s Separation Agreement based on her triggering event which occurred as of August 31, 2011.</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Daisy Vanderlinde</w:t>
      </w:r>
    </w:p>
    <w:p>
      <w:pPr>
        <w:spacing w:after="0" w:line="13" w:lineRule="exact"/>
        <w:rPr>
          <w:sz w:val="20"/>
          <w:szCs w:val="20"/>
          <w:color w:val="auto"/>
        </w:rPr>
      </w:pPr>
    </w:p>
    <w:tbl>
      <w:tblPr>
        <w:tblLayout w:type="fixed"/>
        <w:tblInd w:w="18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82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219"/>
              <w:spacing w:after="0" w:line="132" w:lineRule="exact"/>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Involuntary Termination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920" w:type="dxa"/>
            <w:vAlign w:val="bottom"/>
            <w:gridSpan w:val="4"/>
          </w:tcPr>
          <w:p>
            <w:pPr>
              <w:ind w:left="3240"/>
              <w:spacing w:after="0" w:line="149" w:lineRule="exact"/>
              <w:rPr>
                <w:sz w:val="20"/>
                <w:szCs w:val="20"/>
                <w:color w:val="auto"/>
              </w:rPr>
            </w:pPr>
            <w:r>
              <w:rPr>
                <w:rFonts w:ascii="Arial" w:cs="Arial" w:eastAsia="Arial" w:hAnsi="Arial"/>
                <w:sz w:val="14"/>
                <w:szCs w:val="14"/>
                <w:color w:val="auto"/>
                <w:w w:val="91"/>
              </w:rPr>
              <w:t>Resignation w/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Prior To Change in Control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7"/>
              </w:rPr>
              <w:t>(w/o Cause)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Bonus (2)</w:t>
            </w:r>
          </w:p>
        </w:tc>
        <w:tc>
          <w:tcPr>
            <w:tcW w:w="352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Benefits (3)</w:t>
            </w:r>
          </w:p>
        </w:tc>
        <w:tc>
          <w:tcPr>
            <w:tcW w:w="352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Severance (4)</w:t>
            </w:r>
          </w:p>
        </w:tc>
        <w:tc>
          <w:tcPr>
            <w:tcW w:w="352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for Ms. Vanderlinde</w:t>
            </w:r>
          </w:p>
        </w:tc>
        <w:tc>
          <w:tcPr>
            <w:tcW w:w="3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40" w:type="dxa"/>
            <w:vAlign w:val="bottom"/>
          </w:tcPr>
          <w:p>
            <w:pPr>
              <w:ind w:left="9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August 2011, Ms. Vanderlinde terminated her employment and, pursuant to a Separation Agreement with the company dated September 1, 2011, received a total severance payment of $1,572,296.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-313055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Represents a payment equal to 2 times Ms. Vanderlinde’s annual bonus at target pursuant to the terms of her Separation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payment of COBRA and other welfare benefit plan monthly premiums pursuant to the terms of Ms. Vanderlinde’s Separation Agreement.</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Ms. Vanderlinde’s Separation Agreement, she is eligible to receive a payment equal to 2 times the sum of her base salary in effect on her termination date with the company.</w:t>
      </w:r>
    </w:p>
    <w:p>
      <w:pPr>
        <w:spacing w:after="0" w:line="126"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2007 Long Term Incentive Plan Vesting</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the terms of the 2007 Long-Term Incentive Plan (“2007 LTIP”), upon termination from employment with the company, an NEO’s stock options will vest and be exercisable as follows: If an NEO involuntarily terminates employment with the company for any reason other than death, Disability, or Cause (as each is defined in the 2007 LTIP), or if an NEO voluntarily terminates employment with the company after completing at least five (5) years of service with the company, the NEO’s unvested stock options will be immediately forfeited; and the NEO’s vested stock options shall remain exercisable until the earlier of: eighteen</w:t>
      </w:r>
    </w:p>
    <w:p>
      <w:pPr>
        <w:spacing w:after="0" w:line="3" w:lineRule="exact"/>
        <w:rPr>
          <w:sz w:val="20"/>
          <w:szCs w:val="20"/>
          <w:color w:val="auto"/>
        </w:rPr>
      </w:pPr>
    </w:p>
    <w:p>
      <w:pPr>
        <w:jc w:val="both"/>
        <w:ind w:firstLine="8"/>
        <w:spacing w:after="0" w:line="287" w:lineRule="auto"/>
        <w:tabs>
          <w:tab w:leader="none" w:pos="3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months (twelve (12) months for new grants made on or after April 21, 2011) following the NEO’s separation date, or the expiration date of the options. An NEO’s stock options will fully vest upon termination from the company as a result of death or Disability and shall remain exercisable until the earlier of: twenty-four (24) months following the NEO’s separation date, or the expiration of the options. An NEO’s stock options will fully vest upon termination from the company as a result of Retirement (i.e., age 60 with 5 years of service with the company) and shall remain exercisable until the earlier of: ninety (90) days following the NEO’s separation date, or the expiration of the options. All of an NEO’s stock options, including any stock options which were previously vested, will be immediately forfeited if the NEO is terminated by the company for Cause. If an NEO’s termination from employment with the company does not satisfy one of these provisions, then the NEO’s unvested stock options will be immediately forfeited and the vested stock options shall remain exercisable until the earlier of: ninety (90) days following the NEO’s separation date, or the expiration date of the options.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2007 LTIP, upon an NEO’s termination from employment with the company, the applicable restriction period will lapse and an NEO’s restricted stock will vest as follows: An NEO’s restricted stock based solely on the requirement to continue to perform services shall become fully vested:</w:t>
      </w:r>
    </w:p>
    <w:p>
      <w:pPr>
        <w:jc w:val="both"/>
        <w:ind w:firstLine="8"/>
        <w:spacing w:after="0" w:line="252" w:lineRule="auto"/>
        <w:tabs>
          <w:tab w:leader="none" w:pos="2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immediately prior to a Change in Control (as defined in the 2007 LTIP), (ii) as of the NEO’s date of death or Disability, or (iii) as of the date the NEO has both attained age sixty and completed 5 years of continuous service with the company regardless of whether the restricted stock was granted before or after the date the NEO satisfied the age and service requirements. An NEO’s restricted stock that contains performance conditions as a requirement for vesting shall vest: (i) pro-rata at target based on the amount of time that has elapsed from the beginning of the performance cycle through the NEO’s date of death, Disability, or Retirement, and (ii) in full at target as of a Change in Control. If an NEO is involuntarily terminated by the company for Cause or if the NEO’s termination from employment does not satisfy one of the circumstances described above, all of the NEO’s restricted stock will be automatically forfeited as of the date of termination.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STOCK OWNERSHIP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Shareholders; Ownership by Our Directors and Executive Officers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provided a stock ownership table below that contains certain information about Shareholders whom we believe are the “beneficial” owners of more than five percent (5%) of our outstanding common stock, as well as information regarding stock ownership by our Directors, NEOs and our Directors and Executive Officers as a group as of February 15, 2012, unless otherwise indicated. Except as described below, we know of no person that beneficially owns more than 5% of our outstanding common stock, based solely upon filings made with the SEC.</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otherwise noted below, each person or entity named in the following table has the sole voting and investment power with respect to all shares of our common stock that he, she or it beneficially owns.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60" w:type="dxa"/>
            <w:vAlign w:val="bottom"/>
          </w:tcPr>
          <w:p>
            <w:pPr>
              <w:jc w:val="center"/>
              <w:ind w:left="141"/>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434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Beneficial</w:t>
            </w:r>
          </w:p>
        </w:tc>
        <w:tc>
          <w:tcPr>
            <w:tcW w:w="16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4"/>
              </w:rPr>
              <w:t>Class (Less than</w:t>
            </w:r>
          </w:p>
        </w:tc>
        <w:tc>
          <w:tcPr>
            <w:tcW w:w="0" w:type="dxa"/>
            <w:vAlign w:val="bottom"/>
          </w:tcPr>
          <w:p>
            <w:pPr>
              <w:spacing w:after="0"/>
              <w:rPr>
                <w:sz w:val="1"/>
                <w:szCs w:val="1"/>
                <w:color w:val="auto"/>
              </w:rPr>
            </w:pPr>
          </w:p>
        </w:tc>
      </w:tr>
      <w:tr>
        <w:trPr>
          <w:trHeight w:val="16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4340" w:type="dxa"/>
            <w:vAlign w:val="bottom"/>
          </w:tcPr>
          <w:p>
            <w:pPr>
              <w:jc w:val="right"/>
              <w:ind w:right="354"/>
              <w:spacing w:after="0"/>
              <w:rPr>
                <w:sz w:val="20"/>
                <w:szCs w:val="20"/>
                <w:color w:val="auto"/>
              </w:rPr>
            </w:pPr>
            <w:r>
              <w:rPr>
                <w:rFonts w:ascii="Arial" w:cs="Arial" w:eastAsia="Arial" w:hAnsi="Arial"/>
                <w:sz w:val="14"/>
                <w:szCs w:val="14"/>
                <w:b w:val="1"/>
                <w:bCs w:val="1"/>
                <w:color w:val="auto"/>
              </w:rPr>
              <w:t>Ownership(1)</w:t>
            </w:r>
          </w:p>
        </w:tc>
        <w:tc>
          <w:tcPr>
            <w:tcW w:w="1660" w:type="dxa"/>
            <w:vAlign w:val="bottom"/>
          </w:tcPr>
          <w:p>
            <w:pPr>
              <w:jc w:val="center"/>
              <w:ind w:left="141"/>
              <w:spacing w:after="0"/>
              <w:rPr>
                <w:sz w:val="20"/>
                <w:szCs w:val="20"/>
                <w:color w:val="auto"/>
              </w:rPr>
            </w:pPr>
            <w:r>
              <w:rPr>
                <w:rFonts w:ascii="Arial" w:cs="Arial" w:eastAsia="Arial" w:hAnsi="Arial"/>
                <w:sz w:val="14"/>
                <w:szCs w:val="14"/>
                <w:b w:val="1"/>
                <w:bCs w:val="1"/>
                <w:color w:val="auto"/>
                <w:w w:val="89"/>
              </w:rPr>
              <w:t>1% not shown)(2)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BC Partners Holdings, Ltd. And related entities: </w:t>
            </w:r>
            <w:r>
              <w:rPr>
                <w:rFonts w:ascii="Arial" w:cs="Arial" w:eastAsia="Arial" w:hAnsi="Arial"/>
                <w:sz w:val="11"/>
                <w:szCs w:val="11"/>
                <w:b w:val="1"/>
                <w:bCs w:val="1"/>
                <w:color w:val="auto"/>
              </w:rPr>
              <w:t>(3)</w:t>
            </w:r>
          </w:p>
        </w:tc>
        <w:tc>
          <w:tcPr>
            <w:tcW w:w="43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PO Box 225, Heritage Hall, Le Marchant Street</w:t>
            </w:r>
          </w:p>
        </w:tc>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 Peter Port, Guernsey, GY1 4HY, Channel Islands</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CIE Management II Limited</w:t>
            </w:r>
          </w:p>
        </w:tc>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PO Box 225, Heritage Hall, Le Marchant Street</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St. Peter Port, Guernsey, GY1 4HY, Channel Islands</w:t>
            </w:r>
          </w:p>
        </w:tc>
        <w:tc>
          <w:tcPr>
            <w:tcW w:w="4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LMBO Europe SAS</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54 Avenue Marceau, Paris, France 75008</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75,545,774</w:t>
            </w:r>
          </w:p>
        </w:tc>
        <w:tc>
          <w:tcPr>
            <w:tcW w:w="1660" w:type="dxa"/>
            <w:vAlign w:val="bottom"/>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Thornburg Investment Management Inc </w:t>
            </w:r>
            <w:r>
              <w:rPr>
                <w:rFonts w:ascii="Arial" w:cs="Arial" w:eastAsia="Arial" w:hAnsi="Arial"/>
                <w:sz w:val="11"/>
                <w:szCs w:val="11"/>
                <w:b w:val="1"/>
                <w:bCs w:val="1"/>
                <w:color w:val="auto"/>
              </w:rPr>
              <w:t>(4)</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2300 North Ridgetop Road Santa Fe NM 87506</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25,985,069</w:t>
            </w:r>
          </w:p>
        </w:tc>
        <w:tc>
          <w:tcPr>
            <w:tcW w:w="166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Blackrock, Inc. </w:t>
            </w:r>
            <w:r>
              <w:rPr>
                <w:rFonts w:ascii="Arial" w:cs="Arial" w:eastAsia="Arial" w:hAnsi="Arial"/>
                <w:sz w:val="11"/>
                <w:szCs w:val="11"/>
                <w:b w:val="1"/>
                <w:bCs w:val="1"/>
                <w:color w:val="auto"/>
              </w:rPr>
              <w:t>(5)</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40 East 52nd Street New York, NY 10022</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19,763,603</w:t>
            </w:r>
          </w:p>
        </w:tc>
        <w:tc>
          <w:tcPr>
            <w:tcW w:w="166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Board of Directors and NEOs </w:t>
            </w:r>
            <w:r>
              <w:rPr>
                <w:rFonts w:ascii="Arial" w:cs="Arial" w:eastAsia="Arial" w:hAnsi="Arial"/>
                <w:sz w:val="11"/>
                <w:szCs w:val="11"/>
                <w:b w:val="1"/>
                <w:bCs w:val="1"/>
                <w:color w:val="auto"/>
              </w:rPr>
              <w:t>(6)</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Neil R. Austrian, Chair and CEO</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1,716,103</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Justin Bateman</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Thomas J. Colligan</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15,000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Marsha J. Evans</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47,756</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Brenda Gaines</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193,250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Myra M. Hart</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121,834</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 Scott Hedrick</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256,998</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Kathleen Mason</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114,954</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James S. Rubin</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Raymond Svider</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of Board of Directors</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2,465,895</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(Our NEOs, other than the CEO)</w:t>
            </w:r>
          </w:p>
        </w:tc>
        <w:tc>
          <w:tcPr>
            <w:tcW w:w="4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 xml:space="preserve">Charles Brown, Former President International </w:t>
            </w:r>
            <w:r>
              <w:rPr>
                <w:rFonts w:ascii="Arial" w:cs="Arial" w:eastAsia="Arial" w:hAnsi="Arial"/>
                <w:sz w:val="11"/>
                <w:szCs w:val="11"/>
                <w:b w:val="1"/>
                <w:bCs w:val="1"/>
                <w:color w:val="auto"/>
              </w:rPr>
              <w:t>(7)</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968,983</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Elisa D. Garcia, Executive Vice President and General Counsel</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492,609</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Kevin Peters, President, North America</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653,198</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Steven M. Schmidt, President, International</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1,194,602</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Michael D. Newman, Executive Vice President and CFO</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1,053,876</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0"/>
              </w:rPr>
              <w:t xml:space="preserve">Daisy Vanderlinde, Former Executive Vice President, Human Resources </w:t>
            </w:r>
            <w:r>
              <w:rPr>
                <w:rFonts w:ascii="Arial" w:cs="Arial" w:eastAsia="Arial" w:hAnsi="Arial"/>
                <w:sz w:val="11"/>
                <w:szCs w:val="11"/>
                <w:b w:val="1"/>
                <w:bCs w:val="1"/>
                <w:color w:val="auto"/>
                <w:w w:val="90"/>
              </w:rPr>
              <w:t>(7)</w:t>
            </w:r>
          </w:p>
        </w:tc>
        <w:tc>
          <w:tcPr>
            <w:tcW w:w="43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935,951</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w w:val="96"/>
              </w:rPr>
              <w:t>Directors and Executive Officers as a Group (19 Persons in Total)</w:t>
            </w:r>
          </w:p>
        </w:tc>
        <w:tc>
          <w:tcPr>
            <w:tcW w:w="4340" w:type="dxa"/>
            <w:vAlign w:val="bottom"/>
          </w:tcPr>
          <w:p>
            <w:pPr>
              <w:jc w:val="right"/>
              <w:ind w:right="314"/>
              <w:spacing w:after="0"/>
              <w:rPr>
                <w:sz w:val="20"/>
                <w:szCs w:val="20"/>
                <w:color w:val="auto"/>
              </w:rPr>
            </w:pPr>
            <w:r>
              <w:rPr>
                <w:rFonts w:ascii="Arial" w:cs="Arial" w:eastAsia="Arial" w:hAnsi="Arial"/>
                <w:sz w:val="18"/>
                <w:szCs w:val="18"/>
                <w:color w:val="auto"/>
              </w:rPr>
              <w:t>8,064,564</w:t>
            </w:r>
          </w:p>
        </w:tc>
        <w:tc>
          <w:tcPr>
            <w:tcW w:w="16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340" w:type="dxa"/>
            <w:vAlign w:val="bottom"/>
          </w:tcPr>
          <w:p>
            <w:pPr>
              <w:jc w:val="right"/>
              <w:ind w:right="3834"/>
              <w:spacing w:after="0"/>
              <w:rPr>
                <w:sz w:val="20"/>
                <w:szCs w:val="20"/>
                <w:color w:val="auto"/>
              </w:rPr>
            </w:pPr>
            <w:r>
              <w:rPr>
                <w:rFonts w:ascii="Arial" w:cs="Arial" w:eastAsia="Arial" w:hAnsi="Arial"/>
                <w:sz w:val="18"/>
                <w:szCs w:val="18"/>
                <w:color w:val="auto"/>
              </w:rPr>
              <w:t>106</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Includes shares of common stock subject to options exercisable within 60 days of February 15, 2012, if applicable, even though a considerable number of the options are underwater. See “Options Exercisable within 60 days of Record Date” table below for detail. Also included are unvested shares of restricted stock, as to which the holder has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-445135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Except for BC Partners Holdings, Ltd. and related entities (including CIE Management II Limited and LMBO Europe SAS), applicable percentage of ownership for all Shareholders listed in the table above is based on 280,853,676 shares of common stock outstanding as of February 15, 2012. In computing the number of shares of common stock beneficially owned by a person and the percentage ownership of that person, shares issuable upon the exercise of options that are exercisable within 60 days of February 15, 2012, are not deemed outstanding for purposes of computing the percentage of ownership of any other person. Applicable percentage of ownership for BC Partners Holdings, Ltd. (including CIE Management II Limited and LMBO Europe SAS) is based on 356,399,450 shares of common stock, which includes the as-converted number of common shares underlying the shares of Series B Preferred owned by these entities, which are now convertible into common stock.</w:t>
      </w:r>
    </w:p>
    <w:p>
      <w:pPr>
        <w:spacing w:after="0" w:line="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information regarding CIE Management II Limited, which we refer to as CIE, and LMBO Europe SAS, which we refer to as LMBO was derived from a Schedule 13D filed on July 2, 2009, jointly by: (i) BC European Capital VIII-1 to 12 (inclusive), each a United Kingdom limited partnership (“Funds 1-12”); (ii) BC European Capital VIII-14 to 34 (inclusive), each a United Kingdom limited partnership (“Funds 14-34” and together with Funds 1-12, the “CIE Investors”); (iii) BC European Capital VIII-35 SC to 39 SC (inclusive), each a Société Civiles organized under the laws of France (the “LMBO Investors” and together with the CIE Investors, the “Investors”); (iv) LMBO; and (v) CIE on July 2, 2009. CIE is the general partner of, and has investment control over the shares held by, each of the CIE Investors and LMBO is Gérant as to, and has investment control over the shares held by, each of the LMBO Investors. BC Partners Holdings Limited, a limited corporation organized under the laws of Guernsey, Channel Islands (“BCHL”), is the controlling entity of each of (i) CIE; and (ii) LMBO. CIE, LMBO and BCHL are each managed by separate boards of directors. A list of the directors of CIE, LMBO and BCHL is provided on Schedules II, III and IV to the Schedule 13D filed on July 2, 2009 and none of those directors have beneficial ownership of the share held by the Investors. Since CIE, LMBO and BCHL are managed by boards of directors, no individuals have ultimate voting or investment control (as determined by Rule 13d-3) over the shares that may be deemed beneficially owned by CIE and LMBO. We have no further information or knowledge about CIE, LMBO or BCHL. The Investors, CIE and LMBO may be deemed to be a “group” (within the meaning of Section 13(d)(3) of the Securities Exchange Act) and, as such, may be deemed to be beneficial owners of (y) 274,596 shares of 10% Series A Redeemable Convertible Participating Perpetual Preferred Stock, par value $0.01 per share and (z) 75,404 shares of 10% Series B Redeemable Conditional Convertible Participating Perpetual Preferred Stock, par value $0.01 per share, of Office Depot, Inc., each Investor, however, disclaims beneficial ownership with respect to the shares owned by each of the other Investors, CIE and LMBO. None of the Investors own any shares of common stock over which it has sole voting, disposition or investment power. The figures in the table set forth the number of shares of common stock, on an as-converted basis, owned of record and beneficially owned by the funds including the as-converted underlying shares of Series B Preferred owned by the funds, which are now convertible into common stock.</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regarding Thornburg Investment Management Inc. is reported as of December 31, 2011 and was derived from a Schedule 13G filed on February 3, 2012 that reported sole voting power over 25,985,069 shares, shared voting power over 0 shares, shared dispositive power over 0 shares and sole dispositive power over 25,985,069 shares.</w:t>
      </w:r>
    </w:p>
    <w:p>
      <w:pPr>
        <w:spacing w:after="0" w:line="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regarding BlackRock, Inc. is reported as of December 30, 2011 and was derived from a Schedule 13G filed on February 9, 2012 that reported sole voting power over 19,763,603 shares, shared voting power over 0 shares, shared dispositive power over 0 shares and sole dispositive power over 19,763,603 shares.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107</w:t>
      </w:r>
    </w:p>
    <w:p>
      <w:pPr>
        <w:sectPr>
          <w:pgSz w:w="11900" w:h="16838" w:orient="portrait"/>
          <w:cols w:equalWidth="0" w:num="2">
            <w:col w:w="140" w:space="320"/>
            <w:col w:w="10960"/>
          </w:cols>
          <w:pgMar w:left="240" w:top="459" w:right="239" w:bottom="1440" w:gutter="0" w:footer="0" w:header="0"/>
          <w:type w:val="continuous"/>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all Directors and NEOs is c/o Office Depot, Inc., 6600 North Military Trail, Boca Raton, Florida 33496.</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ownership information regarding stock ownership of Mr. Brown and Ms. Vanderlinde is as of the date of termination, September 26, 2011 and August, 31, 2011 respectively.</w:t>
      </w:r>
    </w:p>
    <w:p>
      <w:pPr>
        <w:spacing w:after="0" w:line="132"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Options Exercisable within 60 Days of Record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options that are or will be exercisable within 60 days of February 15, 2012, for each applicable person named in the table above and for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and Directors as a group is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Neil R. Austrian</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254,335</w:t>
            </w: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Justin Bateman</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Thomas Colligan</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2760" w:type="dxa"/>
            <w:vAlign w:val="bottom"/>
          </w:tcPr>
          <w:p>
            <w:pPr>
              <w:ind w:left="180"/>
              <w:spacing w:after="0"/>
              <w:rPr>
                <w:sz w:val="20"/>
                <w:szCs w:val="20"/>
                <w:color w:val="auto"/>
              </w:rPr>
            </w:pPr>
            <w:r>
              <w:rPr>
                <w:rFonts w:ascii="Arial" w:cs="Arial" w:eastAsia="Arial" w:hAnsi="Arial"/>
                <w:sz w:val="18"/>
                <w:szCs w:val="18"/>
                <w:color w:val="auto"/>
              </w:rPr>
              <w:t>Marsha J. Evans</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19,368</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Brenda Gaines</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112,110</w:t>
            </w: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Myra M. Hart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102,425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W. Scott Hedrick</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67,202</w:t>
            </w:r>
          </w:p>
        </w:tc>
        <w:tc>
          <w:tcPr>
            <w:tcW w:w="2760" w:type="dxa"/>
            <w:vAlign w:val="bottom"/>
          </w:tcPr>
          <w:p>
            <w:pPr>
              <w:ind w:left="180"/>
              <w:spacing w:after="0"/>
              <w:rPr>
                <w:sz w:val="20"/>
                <w:szCs w:val="20"/>
                <w:color w:val="auto"/>
              </w:rPr>
            </w:pPr>
            <w:r>
              <w:rPr>
                <w:rFonts w:ascii="Arial" w:cs="Arial" w:eastAsia="Arial" w:hAnsi="Arial"/>
                <w:sz w:val="18"/>
                <w:szCs w:val="18"/>
                <w:color w:val="auto"/>
              </w:rPr>
              <w:t>Kathleen Mason</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56,013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James Rubin</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Raymond Svider</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Charles E. Brown</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790,421</w:t>
            </w:r>
          </w:p>
        </w:tc>
        <w:tc>
          <w:tcPr>
            <w:tcW w:w="2760" w:type="dxa"/>
            <w:vAlign w:val="bottom"/>
          </w:tcPr>
          <w:p>
            <w:pPr>
              <w:ind w:left="180"/>
              <w:spacing w:after="0"/>
              <w:rPr>
                <w:sz w:val="20"/>
                <w:szCs w:val="20"/>
                <w:color w:val="auto"/>
              </w:rPr>
            </w:pPr>
            <w:r>
              <w:rPr>
                <w:rFonts w:ascii="Arial" w:cs="Arial" w:eastAsia="Arial" w:hAnsi="Arial"/>
                <w:sz w:val="18"/>
                <w:szCs w:val="18"/>
                <w:color w:val="auto"/>
              </w:rPr>
              <w:t>Steven M. Schmidt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978,714</w:t>
            </w:r>
          </w:p>
        </w:tc>
      </w:tr>
      <w:tr>
        <w:trPr>
          <w:trHeight w:val="102"/>
        </w:trPr>
        <w:tc>
          <w:tcPr>
            <w:tcW w:w="3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Kevin Peters</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516,626</w:t>
            </w: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D. Newman</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970,543</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Elisa D. Garcia</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349,322</w:t>
            </w:r>
          </w:p>
        </w:tc>
        <w:tc>
          <w:tcPr>
            <w:tcW w:w="2760" w:type="dxa"/>
            <w:vAlign w:val="bottom"/>
          </w:tcPr>
          <w:p>
            <w:pPr>
              <w:ind w:left="180"/>
              <w:spacing w:after="0"/>
              <w:rPr>
                <w:sz w:val="20"/>
                <w:szCs w:val="20"/>
                <w:color w:val="auto"/>
              </w:rPr>
            </w:pPr>
            <w:r>
              <w:rPr>
                <w:rFonts w:ascii="Arial" w:cs="Arial" w:eastAsia="Arial" w:hAnsi="Arial"/>
                <w:sz w:val="18"/>
                <w:szCs w:val="18"/>
                <w:color w:val="auto"/>
              </w:rPr>
              <w:t>Daisy Vanderlinde</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822,060</w:t>
            </w:r>
          </w:p>
        </w:tc>
      </w:tr>
      <w:tr>
        <w:trPr>
          <w:trHeight w:val="102"/>
        </w:trPr>
        <w:tc>
          <w:tcPr>
            <w:tcW w:w="3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All Executive Officers and Directors as a Group</w:t>
            </w:r>
          </w:p>
        </w:tc>
        <w:tc>
          <w:tcPr>
            <w:tcW w:w="118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(19 Persons)</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5,188,958</w:t>
            </w:r>
          </w:p>
        </w:tc>
        <w:tc>
          <w:tcPr>
            <w:tcW w:w="27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Underwater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closing price of our common stock on February 15, 2012, the following number of options that are or will be exercisable within 60 days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 for each applicable person named in the table above are out of the money (i.e. underwater):</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Neil R. Austrian</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215,599</w:t>
            </w: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Justin Bateman</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Thomas Colligan</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2800" w:type="dxa"/>
            <w:vAlign w:val="bottom"/>
          </w:tcPr>
          <w:p>
            <w:pPr>
              <w:ind w:left="200"/>
              <w:spacing w:after="0"/>
              <w:rPr>
                <w:sz w:val="20"/>
                <w:szCs w:val="20"/>
                <w:color w:val="auto"/>
              </w:rPr>
            </w:pPr>
            <w:r>
              <w:rPr>
                <w:rFonts w:ascii="Arial" w:cs="Arial" w:eastAsia="Arial" w:hAnsi="Arial"/>
                <w:sz w:val="18"/>
                <w:szCs w:val="18"/>
                <w:color w:val="auto"/>
              </w:rPr>
              <w:t>Marsha J. Evans</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Brenda Gaines</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112,110</w:t>
            </w: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Myra M. Hart</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66,747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W. Scott Hedrick</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67,202</w:t>
            </w:r>
          </w:p>
        </w:tc>
        <w:tc>
          <w:tcPr>
            <w:tcW w:w="2800" w:type="dxa"/>
            <w:vAlign w:val="bottom"/>
          </w:tcPr>
          <w:p>
            <w:pPr>
              <w:ind w:left="200"/>
              <w:spacing w:after="0"/>
              <w:rPr>
                <w:sz w:val="20"/>
                <w:szCs w:val="20"/>
                <w:color w:val="auto"/>
              </w:rPr>
            </w:pPr>
            <w:r>
              <w:rPr>
                <w:rFonts w:ascii="Arial" w:cs="Arial" w:eastAsia="Arial" w:hAnsi="Arial"/>
                <w:sz w:val="18"/>
                <w:szCs w:val="18"/>
                <w:color w:val="auto"/>
              </w:rPr>
              <w:t>Kathleen Mason</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20,335</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James Rubin</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Raymond Svider</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Charles E. Brown</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523,755</w:t>
            </w:r>
          </w:p>
        </w:tc>
        <w:tc>
          <w:tcPr>
            <w:tcW w:w="2800" w:type="dxa"/>
            <w:vAlign w:val="bottom"/>
          </w:tcPr>
          <w:p>
            <w:pPr>
              <w:ind w:left="200"/>
              <w:spacing w:after="0"/>
              <w:rPr>
                <w:sz w:val="20"/>
                <w:szCs w:val="20"/>
                <w:color w:val="auto"/>
              </w:rPr>
            </w:pPr>
            <w:r>
              <w:rPr>
                <w:rFonts w:ascii="Arial" w:cs="Arial" w:eastAsia="Arial" w:hAnsi="Arial"/>
                <w:sz w:val="18"/>
                <w:szCs w:val="18"/>
                <w:color w:val="auto"/>
              </w:rPr>
              <w:t>Steven M. Schmidt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378,713</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Kevin Peters</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291,626</w:t>
            </w: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Michael D. Newman</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670,543</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Elisa D. Garcia</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161,822</w:t>
            </w:r>
          </w:p>
        </w:tc>
        <w:tc>
          <w:tcPr>
            <w:tcW w:w="2800" w:type="dxa"/>
            <w:vAlign w:val="bottom"/>
          </w:tcPr>
          <w:p>
            <w:pPr>
              <w:ind w:left="200"/>
              <w:spacing w:after="0"/>
              <w:rPr>
                <w:sz w:val="20"/>
                <w:szCs w:val="20"/>
                <w:color w:val="auto"/>
              </w:rPr>
            </w:pPr>
            <w:r>
              <w:rPr>
                <w:rFonts w:ascii="Arial" w:cs="Arial" w:eastAsia="Arial" w:hAnsi="Arial"/>
                <w:sz w:val="18"/>
                <w:szCs w:val="18"/>
                <w:color w:val="auto"/>
              </w:rPr>
              <w:t>Daisy Vanderlinde</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372,060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our current and former equity compensation plan as of the end of the last fiscal year, December 31,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3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6"/>
              </w:rPr>
              <w:t>Number of Securities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3540" w:type="dxa"/>
            <w:vAlign w:val="bottom"/>
          </w:tcPr>
          <w:p>
            <w:pPr>
              <w:spacing w:after="0"/>
              <w:rPr>
                <w:sz w:val="12"/>
                <w:szCs w:val="12"/>
                <w:color w:val="auto"/>
              </w:rPr>
            </w:pPr>
          </w:p>
        </w:tc>
        <w:tc>
          <w:tcPr>
            <w:tcW w:w="23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00" w:type="dxa"/>
            <w:vAlign w:val="bottom"/>
          </w:tcPr>
          <w:p>
            <w:pPr>
              <w:spacing w:after="0"/>
              <w:rPr>
                <w:sz w:val="12"/>
                <w:szCs w:val="12"/>
                <w:color w:val="auto"/>
              </w:rPr>
            </w:pPr>
          </w:p>
        </w:tc>
        <w:tc>
          <w:tcPr>
            <w:tcW w:w="22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 Available</w:t>
            </w:r>
          </w:p>
        </w:tc>
      </w:tr>
      <w:tr>
        <w:trPr>
          <w:trHeight w:val="149"/>
        </w:trPr>
        <w:tc>
          <w:tcPr>
            <w:tcW w:w="354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22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3540" w:type="dxa"/>
            <w:vAlign w:val="bottom"/>
          </w:tcPr>
          <w:p>
            <w:pPr>
              <w:spacing w:after="0"/>
              <w:rPr>
                <w:sz w:val="12"/>
                <w:szCs w:val="12"/>
                <w:color w:val="auto"/>
              </w:rPr>
            </w:pPr>
          </w:p>
        </w:tc>
        <w:tc>
          <w:tcPr>
            <w:tcW w:w="23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61"/>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234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4"/>
                <w:szCs w:val="14"/>
                <w:b w:val="1"/>
                <w:bCs w:val="1"/>
                <w:color w:val="auto"/>
                <w:w w:val="85"/>
              </w:rPr>
              <w:t>and Rights</w:t>
            </w:r>
          </w:p>
        </w:tc>
        <w:tc>
          <w:tcPr>
            <w:tcW w:w="2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Compensation Plans</w:t>
            </w:r>
          </w:p>
        </w:tc>
      </w:tr>
      <w:tr>
        <w:trPr>
          <w:trHeight w:val="88"/>
        </w:trPr>
        <w:tc>
          <w:tcPr>
            <w:tcW w:w="3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19,059,176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27,166,959</w:t>
            </w:r>
          </w:p>
        </w:tc>
        <w:tc>
          <w:tcPr>
            <w:tcW w:w="100" w:type="dxa"/>
            <w:vAlign w:val="bottom"/>
            <w:shd w:val="clear" w:color="auto" w:fill="CCEEFF"/>
          </w:tcPr>
          <w:p>
            <w:pPr>
              <w:spacing w:after="0"/>
              <w:rPr>
                <w:sz w:val="18"/>
                <w:szCs w:val="18"/>
                <w:color w:val="auto"/>
              </w:rPr>
            </w:pP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Not approved by security holders</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19,059,176</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27,166,959</w:t>
            </w:r>
          </w:p>
        </w:tc>
        <w:tc>
          <w:tcPr>
            <w:tcW w:w="100" w:type="dxa"/>
            <w:vAlign w:val="bottom"/>
            <w:shd w:val="clear" w:color="auto" w:fill="CCEEFF"/>
          </w:tcPr>
          <w:p>
            <w:pPr>
              <w:spacing w:after="0"/>
              <w:rPr>
                <w:sz w:val="18"/>
                <w:szCs w:val="18"/>
                <w:color w:val="auto"/>
              </w:rPr>
            </w:pPr>
          </w:p>
        </w:tc>
      </w:tr>
      <w:tr>
        <w:trPr>
          <w:trHeight w:val="363"/>
        </w:trPr>
        <w:tc>
          <w:tcPr>
            <w:tcW w:w="3540" w:type="dxa"/>
            <w:vAlign w:val="bottom"/>
          </w:tcPr>
          <w:p>
            <w:pPr>
              <w:spacing w:after="0"/>
              <w:rPr>
                <w:sz w:val="24"/>
                <w:szCs w:val="24"/>
                <w:color w:val="auto"/>
              </w:rPr>
            </w:pPr>
          </w:p>
        </w:tc>
        <w:tc>
          <w:tcPr>
            <w:tcW w:w="2340" w:type="dxa"/>
            <w:vAlign w:val="bottom"/>
            <w:gridSpan w:val="2"/>
          </w:tcPr>
          <w:p>
            <w:pPr>
              <w:jc w:val="right"/>
              <w:ind w:right="9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Related Person Transactions Policy (the “Policy”) sets forth the procedures governing the review and approval or ratification of transactions between the company, on the one hand, and (i) an Executive Officer (“Executive Officer”); (ii) Director; (iii) an immediate family member of an Executive Officer or Director; (iv) any security holder who is known by the company to own of record or beneficially more than five percent of any class of the company’s voting securities at the time of the transaction; or (v) an immediate family member of such five percent security holder, on the other hand. Persons in categories (i), (ii), (iii), (iv) and (v) are collectively referred to as “Related Persons.”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related person transactions, and under the Policy a “related person transaction” is any transaction:</w:t>
      </w:r>
    </w:p>
    <w:p>
      <w:pPr>
        <w:spacing w:after="0" w:line="212"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which the company was or is to be a participant;</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which the amount exceeds $120,000;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which any Related Person has, or will have, a direct or indirect material interest.</w:t>
      </w:r>
    </w:p>
    <w:p>
      <w:pPr>
        <w:spacing w:after="0" w:line="21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Including any contribution of $120,000 or more to a charitable organization of which a Related Person is a trustee, director, executive officer or has a similar relationship.</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 Related Person transaction shall be approved or ratified if such transaction is contrary to the best interests of the company. Unless different terms are specifically approved or ratified by the Corporate Governance and Nominating Committee, any approved or ratified transaction must be on terms that are no less favorable to the company than would be obtained in a similar transaction with an unaffiliated third party under the same or similar circumstances. All related person transactions or series of similar transactions must be presented to the Corporate Governance and Nominating Committee for review and pre-approval or ratification. During fiscal 2011, all of the transactions described in this section that were subject to the company’s policies and procedures were reviewed and approved or ratified by the Corporate Governance and Nominating Committee and the Board of Directors. A copy of the Policy is available for review on the company’s web site at www.officedepot.com under the headings “Company Information/Investor Relations/Corporate Governance.”</w:t>
      </w:r>
    </w:p>
    <w:p>
      <w:pPr>
        <w:spacing w:after="0" w:line="1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an annual basis, each Director and Executive Officer is required to complete a questionnaire which requires disclosure of any related party transaction. The Corporate Governance and Nominating Committee reviews any transaction disclosed.</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From time to time the company may engage in purchase and sale transactions for office products with BC Partners or its portfolio companies. These transactions are conducted on an arms length basis and are not material to BC Partners.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&amp; Other Fees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fees for our independent registered public accounting firm for professional services rendered in connection with (i) the audit of our annual financial statements as set forth in our Annual Report on Form 10-K for the fiscal years ended December 25, 2010 and December 31, 2011, (ii) the review of our quarterly financial statements as set forth in our Quarterly Reports on Form 10-Q for each of our fiscal quarters during 2010 and 2011, and (iii) the audit of our internal control over financial reporting with the objective of obtaining reasonable assurance about whether effective internal control over financial reporting was maintained in all material respects, as well as fees paid to our independent registered public accounting firm for audit-related work, tax compliance, tax</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planning and other consulting services are set forth below. The audit committee approved 100% of the fees related to the services discussed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Audit &amp; Other Fees Paid to Deloitte &amp; Touche LLP</w:t>
            </w:r>
          </w:p>
        </w:tc>
        <w:tc>
          <w:tcPr>
            <w:tcW w:w="7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ind w:right="1294"/>
              <w:spacing w:after="0"/>
              <w:rPr>
                <w:sz w:val="20"/>
                <w:szCs w:val="20"/>
                <w:color w:val="auto"/>
              </w:rPr>
            </w:pPr>
            <w:r>
              <w:rPr>
                <w:rFonts w:ascii="Arial" w:cs="Arial" w:eastAsia="Arial" w:hAnsi="Arial"/>
                <w:sz w:val="14"/>
                <w:szCs w:val="14"/>
                <w:b w:val="1"/>
                <w:bCs w:val="1"/>
                <w:color w:val="auto"/>
              </w:rPr>
              <w:t>Fiscal 2010</w:t>
            </w:r>
          </w:p>
        </w:tc>
        <w:tc>
          <w:tcPr>
            <w:tcW w:w="7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Fiscal 2011</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5,487,548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6,493,872</w:t>
            </w: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rPr>
              <w:t>Audit Related Fees (as defined under the Sarbanes-Oxley Act of</w:t>
            </w:r>
          </w:p>
        </w:tc>
        <w:tc>
          <w:tcPr>
            <w:tcW w:w="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8"/>
                <w:szCs w:val="18"/>
                <w:color w:val="auto"/>
              </w:rPr>
              <w:t>2002)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554"/>
              <w:spacing w:after="0"/>
              <w:rPr>
                <w:sz w:val="20"/>
                <w:szCs w:val="20"/>
                <w:color w:val="auto"/>
              </w:rPr>
            </w:pPr>
            <w:r>
              <w:rPr>
                <w:rFonts w:ascii="Arial" w:cs="Arial" w:eastAsia="Arial" w:hAnsi="Arial"/>
                <w:sz w:val="18"/>
                <w:szCs w:val="18"/>
                <w:color w:val="auto"/>
              </w:rPr>
              <w:t>431,925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4"/>
              <w:spacing w:after="0"/>
              <w:rPr>
                <w:sz w:val="20"/>
                <w:szCs w:val="20"/>
                <w:color w:val="auto"/>
              </w:rPr>
            </w:pPr>
            <w:r>
              <w:rPr>
                <w:rFonts w:ascii="Arial" w:cs="Arial" w:eastAsia="Arial" w:hAnsi="Arial"/>
                <w:sz w:val="18"/>
                <w:szCs w:val="18"/>
                <w:color w:val="auto"/>
              </w:rPr>
              <w:t>116,338</w:t>
            </w: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589,499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264,567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All Other Fees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554"/>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4"/>
              <w:spacing w:after="0"/>
              <w:rPr>
                <w:sz w:val="20"/>
                <w:szCs w:val="20"/>
                <w:color w:val="auto"/>
              </w:rPr>
            </w:pPr>
            <w:r>
              <w:rPr>
                <w:rFonts w:ascii="Arial" w:cs="Arial" w:eastAsia="Arial" w:hAnsi="Arial"/>
                <w:sz w:val="18"/>
                <w:szCs w:val="18"/>
                <w:color w:val="auto"/>
              </w:rPr>
              <w:t>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6,508,972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6,874,777</w:t>
            </w: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rPr>
              <w:t>Ratio of Audit Fees, Audit Related Fees and Tax Compliance</w:t>
            </w:r>
          </w:p>
        </w:tc>
        <w:tc>
          <w:tcPr>
            <w:tcW w:w="720" w:type="dxa"/>
            <w:vAlign w:val="bottom"/>
          </w:tcPr>
          <w:p>
            <w:pPr>
              <w:spacing w:after="0"/>
              <w:rPr>
                <w:sz w:val="18"/>
                <w:szCs w:val="18"/>
                <w:color w:val="auto"/>
              </w:rPr>
            </w:pPr>
          </w:p>
        </w:tc>
        <w:tc>
          <w:tcPr>
            <w:tcW w:w="2660" w:type="dxa"/>
            <w:vAlign w:val="bottom"/>
          </w:tcPr>
          <w:p>
            <w:pPr>
              <w:jc w:val="center"/>
              <w:ind w:right="554"/>
              <w:spacing w:after="0"/>
              <w:rPr>
                <w:sz w:val="20"/>
                <w:szCs w:val="20"/>
                <w:color w:val="auto"/>
              </w:rPr>
            </w:pPr>
            <w:r>
              <w:rPr>
                <w:rFonts w:ascii="Arial" w:cs="Arial" w:eastAsia="Arial" w:hAnsi="Arial"/>
                <w:sz w:val="18"/>
                <w:szCs w:val="18"/>
                <w:color w:val="auto"/>
                <w:w w:val="89"/>
              </w:rPr>
              <w:t>100% Audit, Audit-Related</w:t>
            </w:r>
          </w:p>
        </w:tc>
        <w:tc>
          <w:tcPr>
            <w:tcW w:w="7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100% Audit, Audit-Related</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9"/>
              </w:rPr>
              <w:t>Fees To Total Fees paid to our Independent Registered Public</w:t>
            </w:r>
          </w:p>
        </w:tc>
        <w:tc>
          <w:tcPr>
            <w:tcW w:w="720" w:type="dxa"/>
            <w:vAlign w:val="bottom"/>
          </w:tcPr>
          <w:p>
            <w:pPr>
              <w:spacing w:after="0"/>
              <w:rPr>
                <w:sz w:val="18"/>
                <w:szCs w:val="18"/>
                <w:color w:val="auto"/>
              </w:rPr>
            </w:pPr>
          </w:p>
        </w:tc>
        <w:tc>
          <w:tcPr>
            <w:tcW w:w="2660" w:type="dxa"/>
            <w:vAlign w:val="bottom"/>
          </w:tcPr>
          <w:p>
            <w:pPr>
              <w:jc w:val="center"/>
              <w:ind w:right="554"/>
              <w:spacing w:after="0"/>
              <w:rPr>
                <w:sz w:val="20"/>
                <w:szCs w:val="20"/>
                <w:color w:val="auto"/>
              </w:rPr>
            </w:pPr>
            <w:r>
              <w:rPr>
                <w:rFonts w:ascii="Arial" w:cs="Arial" w:eastAsia="Arial" w:hAnsi="Arial"/>
                <w:sz w:val="18"/>
                <w:szCs w:val="18"/>
                <w:color w:val="auto"/>
                <w:w w:val="86"/>
              </w:rPr>
              <w:t>and Tax Compliance Fees</w:t>
            </w:r>
          </w:p>
        </w:tc>
        <w:tc>
          <w:tcPr>
            <w:tcW w:w="740" w:type="dxa"/>
            <w:vAlign w:val="bottom"/>
          </w:tcPr>
          <w:p>
            <w:pPr>
              <w:spacing w:after="0"/>
              <w:rPr>
                <w:sz w:val="18"/>
                <w:szCs w:val="18"/>
                <w:color w:val="auto"/>
              </w:rPr>
            </w:pPr>
          </w:p>
        </w:tc>
        <w:tc>
          <w:tcPr>
            <w:tcW w:w="2120" w:type="dxa"/>
            <w:vAlign w:val="bottom"/>
          </w:tcPr>
          <w:p>
            <w:pPr>
              <w:jc w:val="center"/>
              <w:ind w:right="14"/>
              <w:spacing w:after="0"/>
              <w:rPr>
                <w:sz w:val="20"/>
                <w:szCs w:val="20"/>
                <w:color w:val="auto"/>
              </w:rPr>
            </w:pPr>
            <w:r>
              <w:rPr>
                <w:rFonts w:ascii="Arial" w:cs="Arial" w:eastAsia="Arial" w:hAnsi="Arial"/>
                <w:sz w:val="18"/>
                <w:szCs w:val="18"/>
                <w:color w:val="auto"/>
                <w:w w:val="86"/>
              </w:rPr>
              <w:t>and Tax Compliance Fees</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Accounting Firm in the years indicated</w:t>
            </w:r>
          </w:p>
        </w:tc>
        <w:tc>
          <w:tcPr>
            <w:tcW w:w="720" w:type="dxa"/>
            <w:vAlign w:val="bottom"/>
          </w:tcPr>
          <w:p>
            <w:pPr>
              <w:spacing w:after="0"/>
              <w:rPr>
                <w:sz w:val="18"/>
                <w:szCs w:val="18"/>
                <w:color w:val="auto"/>
              </w:rPr>
            </w:pPr>
          </w:p>
        </w:tc>
        <w:tc>
          <w:tcPr>
            <w:tcW w:w="2660" w:type="dxa"/>
            <w:vAlign w:val="bottom"/>
          </w:tcPr>
          <w:p>
            <w:pPr>
              <w:jc w:val="center"/>
              <w:ind w:right="554"/>
              <w:spacing w:after="0"/>
              <w:rPr>
                <w:sz w:val="20"/>
                <w:szCs w:val="20"/>
                <w:color w:val="auto"/>
              </w:rPr>
            </w:pPr>
            <w:r>
              <w:rPr>
                <w:rFonts w:ascii="Arial" w:cs="Arial" w:eastAsia="Arial" w:hAnsi="Arial"/>
                <w:sz w:val="18"/>
                <w:szCs w:val="18"/>
                <w:color w:val="auto"/>
                <w:w w:val="87"/>
              </w:rPr>
              <w:t>0% – all other fees</w:t>
            </w:r>
          </w:p>
        </w:tc>
        <w:tc>
          <w:tcPr>
            <w:tcW w:w="7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0% – all other fees</w:t>
            </w:r>
          </w:p>
        </w:tc>
      </w:tr>
      <w:tr>
        <w:trPr>
          <w:trHeight w:val="222"/>
        </w:trPr>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60" w:type="dxa"/>
            <w:vAlign w:val="bottom"/>
          </w:tcPr>
          <w:p>
            <w:pPr>
              <w:jc w:val="center"/>
              <w:ind w:right="554"/>
              <w:spacing w:after="0"/>
              <w:rPr>
                <w:sz w:val="20"/>
                <w:szCs w:val="20"/>
                <w:color w:val="auto"/>
              </w:rPr>
            </w:pPr>
            <w:r>
              <w:rPr>
                <w:rFonts w:ascii="Arial" w:cs="Arial" w:eastAsia="Arial" w:hAnsi="Arial"/>
                <w:sz w:val="18"/>
                <w:szCs w:val="18"/>
                <w:color w:val="auto"/>
                <w:w w:val="90"/>
              </w:rPr>
              <w:t>(including tax planning fees)</w:t>
            </w:r>
          </w:p>
        </w:tc>
        <w:tc>
          <w:tcPr>
            <w:tcW w:w="740" w:type="dxa"/>
            <w:vAlign w:val="bottom"/>
          </w:tcPr>
          <w:p>
            <w:pPr>
              <w:spacing w:after="0"/>
              <w:rPr>
                <w:sz w:val="19"/>
                <w:szCs w:val="19"/>
                <w:color w:val="auto"/>
              </w:rPr>
            </w:pPr>
          </w:p>
        </w:tc>
        <w:tc>
          <w:tcPr>
            <w:tcW w:w="2120" w:type="dxa"/>
            <w:vAlign w:val="bottom"/>
          </w:tcPr>
          <w:p>
            <w:pPr>
              <w:jc w:val="center"/>
              <w:ind w:right="14"/>
              <w:spacing w:after="0"/>
              <w:rPr>
                <w:sz w:val="20"/>
                <w:szCs w:val="20"/>
                <w:color w:val="auto"/>
              </w:rPr>
            </w:pPr>
            <w:r>
              <w:rPr>
                <w:rFonts w:ascii="Arial" w:cs="Arial" w:eastAsia="Arial" w:hAnsi="Arial"/>
                <w:sz w:val="18"/>
                <w:szCs w:val="18"/>
                <w:color w:val="auto"/>
                <w:w w:val="90"/>
              </w:rPr>
              <w:t>(including tax planning fees)</w:t>
            </w:r>
          </w:p>
        </w:tc>
      </w:tr>
    </w:tbl>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 Consists of fees for professional services rendered in connection with the audits of our consolidated financial statements and the effectiveness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internal controls over financial reporting for the fiscal years ended December 31, 2011, and December 25, 2010; the reviews of the consolidated financial statements included in each of our Quarterly Reports on Form 10-Q during those fiscal years; consultations on accounting matters; statutory audit filings; and SEC registration statements. In April 2011, the company and Deloitte Tax LLP entered into an agreement resolving on mutually agreeable terms, all potential claims with respect to tax advice and related services provided by Deloitte relating to the company’s 2010 taxable year. The consideration for such release was an undisclosed amount.</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Audit Related Fees </w:t>
      </w:r>
      <w:r>
        <w:rPr>
          <w:rFonts w:ascii="Arial" w:cs="Arial" w:eastAsia="Arial" w:hAnsi="Arial"/>
          <w:sz w:val="18"/>
          <w:szCs w:val="18"/>
          <w:color w:val="auto"/>
        </w:rPr>
        <w:t>— Consists primarily of fees for accounting consultation and additional audit procedures associated with the company’s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restructuring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 Consists primarily of fees for tax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7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Audit Committee has established policies and procedures under which audit and non-audit services performed by the company’s independent registered public accounting firm must be approved in advance by the Audit Committee. The Audit Committee’s policy provides for pre-approval of audit, audit-related, tax and other services specifically described by the Audit Committee on an annual basis. In addition, individual engagements anticipated to exceed pre-established thresholds, as well as any other services, must be separately approved. The policy also provides that the Audit Committee has delegated pre-approval authority to the Chair of the Audit Committee provided that the pre-approval of any matters permitted by the Chair is reported to the full Audit Committee at its next meeting.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(a)The following documents are filed as a part of this report:</w:t>
      </w:r>
    </w:p>
    <w:p>
      <w:pPr>
        <w:spacing w:after="0" w:line="212" w:lineRule="exact"/>
        <w:rPr>
          <w:sz w:val="20"/>
          <w:szCs w:val="20"/>
          <w:color w:val="auto"/>
        </w:rPr>
      </w:pPr>
    </w:p>
    <w:p>
      <w:pPr>
        <w:ind w:left="1120" w:hanging="207"/>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financial statements listed in “Index to Financial Statements.”</w:t>
      </w:r>
    </w:p>
    <w:p>
      <w:pPr>
        <w:spacing w:after="0" w:line="211" w:lineRule="exact"/>
        <w:rPr>
          <w:rFonts w:ascii="Arial" w:cs="Arial" w:eastAsia="Arial" w:hAnsi="Arial"/>
          <w:sz w:val="18"/>
          <w:szCs w:val="18"/>
          <w:color w:val="auto"/>
        </w:rPr>
      </w:pPr>
    </w:p>
    <w:p>
      <w:pPr>
        <w:ind w:left="1120" w:hanging="207"/>
        <w:spacing w:after="0"/>
        <w:tabs>
          <w:tab w:leader="none" w:pos="11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financial statement schedules listed in “Index to Financial Statement Schedules.”</w:t>
      </w:r>
    </w:p>
    <w:p>
      <w:pPr>
        <w:spacing w:after="0" w:line="246" w:lineRule="exact"/>
        <w:rPr>
          <w:rFonts w:ascii="Arial" w:cs="Arial" w:eastAsia="Arial" w:hAnsi="Arial"/>
          <w:sz w:val="15"/>
          <w:szCs w:val="15"/>
          <w:color w:val="auto"/>
        </w:rPr>
      </w:pPr>
    </w:p>
    <w:p>
      <w:pPr>
        <w:ind w:left="1120" w:hanging="207"/>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exhibits listed in the “Index to Exhibits.”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(b)Exhibit 99</w:t>
      </w:r>
    </w:p>
    <w:p>
      <w:pPr>
        <w:spacing w:after="0" w:line="212" w:lineRule="exact"/>
        <w:rPr>
          <w:sz w:val="20"/>
          <w:szCs w:val="20"/>
          <w:color w:val="auto"/>
        </w:rPr>
      </w:pPr>
    </w:p>
    <w:p>
      <w:pPr>
        <w:ind w:left="5580" w:right="3539" w:hanging="4667"/>
        <w:spacing w:after="0" w:line="525" w:lineRule="auto"/>
        <w:tabs>
          <w:tab w:leader="none" w:pos="11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Financial statements of Office Depot de Mexico, S.A. de C.V. and Subsidiaries 111</w:t>
      </w:r>
    </w:p>
    <w:p>
      <w:pPr>
        <w:sectPr>
          <w:pgSz w:w="11900" w:h="16838" w:orient="portrait"/>
          <w:cols w:equalWidth="0" w:num="1">
            <w:col w:w="10219"/>
          </w:cols>
          <w:pgMar w:left="24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28th day of February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 DEPOT,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NEIL R. AUSTRIAN</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Neil R. Austrian</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on February 28,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700" w:type="dxa"/>
            <w:vAlign w:val="bottom"/>
          </w:tcPr>
          <w:p>
            <w:pPr>
              <w:spacing w:after="0"/>
              <w:rPr>
                <w:sz w:val="15"/>
                <w:szCs w:val="15"/>
                <w:color w:val="auto"/>
              </w:rPr>
            </w:pPr>
          </w:p>
        </w:tc>
        <w:tc>
          <w:tcPr>
            <w:tcW w:w="5800" w:type="dxa"/>
            <w:vAlign w:val="bottom"/>
            <w:tcBorders>
              <w:bottom w:val="single" w:sz="8" w:color="auto"/>
            </w:tcBorders>
          </w:tcPr>
          <w:p>
            <w:pPr>
              <w:ind w:left="2660"/>
              <w:spacing w:after="0"/>
              <w:rPr>
                <w:sz w:val="20"/>
                <w:szCs w:val="20"/>
                <w:color w:val="auto"/>
              </w:rPr>
            </w:pPr>
            <w:r>
              <w:rPr>
                <w:rFonts w:ascii="Arial" w:cs="Arial" w:eastAsia="Arial" w:hAnsi="Arial"/>
                <w:sz w:val="14"/>
                <w:szCs w:val="14"/>
                <w:color w:val="auto"/>
              </w:rPr>
              <w:t>Capacity</w:t>
            </w:r>
          </w:p>
        </w:tc>
      </w:tr>
      <w:tr>
        <w:trPr>
          <w:trHeight w:val="296"/>
        </w:trPr>
        <w:tc>
          <w:tcPr>
            <w:tcW w:w="4920" w:type="dxa"/>
            <w:vAlign w:val="bottom"/>
          </w:tcPr>
          <w:p>
            <w:pPr>
              <w:spacing w:after="0"/>
              <w:rPr>
                <w:sz w:val="20"/>
                <w:szCs w:val="20"/>
                <w:color w:val="auto"/>
              </w:rPr>
            </w:pPr>
            <w:r>
              <w:rPr>
                <w:rFonts w:ascii="Arial" w:cs="Arial" w:eastAsia="Arial" w:hAnsi="Arial"/>
                <w:sz w:val="18"/>
                <w:szCs w:val="18"/>
                <w:color w:val="auto"/>
              </w:rPr>
              <w:t>/s/ NEIL R. AUSTRIAN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5"/>
              </w:rPr>
              <w:t>Chief Executive Officer (Principal Executive Officer) and Chairman, Board of</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Neil R. Austrian</w:t>
            </w:r>
          </w:p>
        </w:tc>
        <w:tc>
          <w:tcPr>
            <w:tcW w:w="70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Directors</w:t>
            </w: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MICHAEL D. NEWMAN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0"/>
              </w:rPr>
              <w:t>Executive Vice President and Chief Financial Officer (Principal Financial Officer)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Michael D. Newman</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MARK E. HUTCHENS</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Controller (Principal Accounting Officer)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Mark E. Hutchens</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JUSTIN BATEMAN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Justin Bateman</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THOMAS J. COLLIGAN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Thomas J. Colligan</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MARSHA JOHNSON EVANS</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Marsha Johnson Evans</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BRENDA J. GAINES</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Brenda J. Gaines</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MYRA M. HART</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Myra M. Hart</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W. SCOTT HEDRICK</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W. Scott Hedrick</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KATHLEEN MASON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Kathleen Mason</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JAMES RUBIN</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James Rubin</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/s/ RAYMOND SVIDER</w:t>
            </w:r>
          </w:p>
        </w:tc>
        <w:tc>
          <w:tcPr>
            <w:tcW w:w="7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Raymond Svider</w:t>
            </w:r>
          </w:p>
        </w:tc>
        <w:tc>
          <w:tcPr>
            <w:tcW w:w="70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8"/>
        </w:trPr>
        <w:tc>
          <w:tcPr>
            <w:tcW w:w="4920" w:type="dxa"/>
            <w:vAlign w:val="bottom"/>
          </w:tcPr>
          <w:p>
            <w:pPr>
              <w:spacing w:after="0"/>
              <w:rPr>
                <w:sz w:val="24"/>
                <w:szCs w:val="24"/>
                <w:color w:val="auto"/>
              </w:rPr>
            </w:pPr>
          </w:p>
        </w:tc>
        <w:tc>
          <w:tcPr>
            <w:tcW w:w="6500" w:type="dxa"/>
            <w:vAlign w:val="bottom"/>
            <w:gridSpan w:val="2"/>
          </w:tcPr>
          <w:p>
            <w:pPr>
              <w:jc w:val="right"/>
              <w:ind w:right="5494"/>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Page</w:t>
            </w:r>
          </w:p>
        </w:tc>
      </w:tr>
      <w:tr>
        <w:trPr>
          <w:trHeight w:val="264"/>
        </w:trPr>
        <w:tc>
          <w:tcPr>
            <w:tcW w:w="10480" w:type="dxa"/>
            <w:vAlign w:val="bottom"/>
            <w:gridSpan w:val="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114</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Balance Sheets</w:t>
              </w:r>
            </w:hyperlink>
          </w:p>
        </w:tc>
        <w:tc>
          <w:tcPr>
            <w:tcW w:w="636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115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Consolidated Statements of Operations</w:t>
              </w:r>
            </w:hyperlink>
          </w:p>
        </w:tc>
        <w:tc>
          <w:tcPr>
            <w:tcW w:w="772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116</w:t>
            </w:r>
          </w:p>
        </w:tc>
      </w:tr>
      <w:tr>
        <w:trPr>
          <w:trHeight w:val="196"/>
        </w:trPr>
        <w:tc>
          <w:tcPr>
            <w:tcW w:w="10480" w:type="dxa"/>
            <w:vAlign w:val="bottom"/>
            <w:gridSpan w:val="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Comprehensive Income (Loss)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117</w:t>
            </w:r>
          </w:p>
        </w:tc>
      </w:tr>
      <w:tr>
        <w:trPr>
          <w:trHeight w:val="196"/>
        </w:trPr>
        <w:tc>
          <w:tcPr>
            <w:tcW w:w="3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Consolidated Statements of Stockholders’ Equity</w:t>
              </w:r>
            </w:hyperlink>
          </w:p>
        </w:tc>
        <w:tc>
          <w:tcPr>
            <w:tcW w:w="660" w:type="dxa"/>
            <w:vAlign w:val="bottom"/>
            <w:tcBorders>
              <w:top w:val="single" w:sz="8" w:color="0000EE"/>
            </w:tcBorders>
            <w:gridSpan w:val="2"/>
          </w:tcPr>
          <w:p>
            <w:pPr>
              <w:spacing w:after="0"/>
              <w:rPr>
                <w:sz w:val="17"/>
                <w:szCs w:val="17"/>
                <w:color w:val="auto"/>
              </w:rPr>
            </w:pPr>
          </w:p>
        </w:tc>
        <w:tc>
          <w:tcPr>
            <w:tcW w:w="6340" w:type="dxa"/>
            <w:vAlign w:val="bottom"/>
            <w:gridSpan w:val="2"/>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118</w:t>
            </w:r>
          </w:p>
        </w:tc>
      </w:tr>
      <w:tr>
        <w:trPr>
          <w:trHeight w:val="196"/>
        </w:trPr>
        <w:tc>
          <w:tcPr>
            <w:tcW w:w="10480" w:type="dxa"/>
            <w:vAlign w:val="bottom"/>
            <w:gridSpan w:val="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Cash Flows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119</w:t>
            </w:r>
          </w:p>
        </w:tc>
      </w:tr>
      <w:tr>
        <w:trPr>
          <w:trHeight w:val="20"/>
        </w:trPr>
        <w:tc>
          <w:tcPr>
            <w:tcW w:w="28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Notes to Consolidated Financial Statements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7"/>
              </w:rPr>
              <w:t>120 – 149</w:t>
            </w:r>
          </w:p>
        </w:tc>
      </w:tr>
      <w:tr>
        <w:trPr>
          <w:trHeight w:val="20"/>
        </w:trPr>
        <w:tc>
          <w:tcPr>
            <w:tcW w:w="28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Report of Independent Registered Public Accounting Firm on Financial Statement Schedules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150</w:t>
            </w:r>
          </w:p>
        </w:tc>
      </w:tr>
      <w:tr>
        <w:trPr>
          <w:trHeight w:val="196"/>
        </w:trPr>
        <w:tc>
          <w:tcPr>
            <w:tcW w:w="6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Index to Financial Statement Schedules</w:t>
              </w:r>
            </w:hyperlink>
          </w:p>
        </w:tc>
        <w:tc>
          <w:tcPr>
            <w:tcW w:w="39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6"/>
              </w:rPr>
              <w:t>151</w:t>
            </w:r>
          </w:p>
        </w:tc>
      </w:tr>
      <w:tr>
        <w:trPr>
          <w:trHeight w:val="383"/>
        </w:trPr>
        <w:tc>
          <w:tcPr>
            <w:tcW w:w="2800" w:type="dxa"/>
            <w:vAlign w:val="bottom"/>
            <w:tcBorders>
              <w:top w:val="single" w:sz="8" w:color="0000EE"/>
            </w:tcBorders>
            <w:gridSpan w:val="3"/>
          </w:tcPr>
          <w:p>
            <w:pPr>
              <w:spacing w:after="0"/>
              <w:rPr>
                <w:sz w:val="24"/>
                <w:szCs w:val="24"/>
                <w:color w:val="auto"/>
              </w:rPr>
            </w:pPr>
          </w:p>
        </w:tc>
        <w:tc>
          <w:tcPr>
            <w:tcW w:w="3740" w:type="dxa"/>
            <w:vAlign w:val="bottom"/>
            <w:gridSpan w:val="5"/>
          </w:tcPr>
          <w:p>
            <w:pPr>
              <w:jc w:val="right"/>
              <w:ind w:right="700"/>
              <w:spacing w:after="0"/>
              <w:rPr>
                <w:sz w:val="20"/>
                <w:szCs w:val="20"/>
                <w:color w:val="auto"/>
              </w:rPr>
            </w:pPr>
            <w:r>
              <w:rPr>
                <w:rFonts w:ascii="Arial" w:cs="Arial" w:eastAsia="Arial" w:hAnsi="Arial"/>
                <w:sz w:val="18"/>
                <w:szCs w:val="18"/>
                <w:color w:val="auto"/>
              </w:rPr>
              <w:t>113</w:t>
            </w:r>
          </w:p>
        </w:tc>
        <w:tc>
          <w:tcPr>
            <w:tcW w:w="39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Office Depot, Inc.:</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Office Depot, Inc. and subsidiaries (the “Company”) as of December 31, 2011 and December 25, 2010, and the related consolidated statements of operations, comprehensive income (loss), stockholders’ equity, and cash flows for each of the three fiscal years in the period ended December 31, 2011.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Office Depot, Inc. and subsidiaries at December 31, 2011 and December 25, 2010, and the results of their operations and their cash flows for each of the three fiscal years in the period ended December 31, 2011, in conformity with accounting principles generally accepted in the United States of America.</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w w:val="88"/>
              </w:rPr>
              <w:t>December 25,</w:t>
            </w:r>
          </w:p>
        </w:tc>
        <w:tc>
          <w:tcPr>
            <w:tcW w:w="0" w:type="dxa"/>
            <w:vAlign w:val="bottom"/>
          </w:tcPr>
          <w:p>
            <w:pPr>
              <w:spacing w:after="0"/>
              <w:rPr>
                <w:sz w:val="1"/>
                <w:szCs w:val="1"/>
                <w:color w:val="auto"/>
              </w:rPr>
            </w:pPr>
          </w:p>
        </w:tc>
      </w:tr>
      <w:tr>
        <w:trPr>
          <w:trHeight w:val="174"/>
        </w:trPr>
        <w:tc>
          <w:tcPr>
            <w:tcW w:w="9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570,681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Receivables, net of allowances of $19,671 in 2011 and $28,047 in 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862,831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1,146,974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163,646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2,744,132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3,027,942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1,067,040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1,157,013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35,223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294,899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4,250,984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4,569,437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993,636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1,080,276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1,010,011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7,389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2,047,437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452,313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648,313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3,148,063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3,517,483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net (liquidation preference – $377,729 in 2011 and $368,516 in 2010)</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363,636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Depot, Inc.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40" w:type="dxa"/>
            <w:vAlign w:val="bottom"/>
          </w:tcPr>
          <w:p>
            <w:pPr>
              <w:ind w:left="440"/>
              <w:spacing w:after="0"/>
              <w:rPr>
                <w:sz w:val="20"/>
                <w:szCs w:val="20"/>
                <w:color w:val="auto"/>
              </w:rPr>
            </w:pPr>
            <w:r>
              <w:rPr>
                <w:rFonts w:ascii="Arial" w:cs="Arial" w:eastAsia="Arial" w:hAnsi="Arial"/>
                <w:sz w:val="18"/>
                <w:szCs w:val="18"/>
                <w:color w:val="auto"/>
                <w:w w:val="90"/>
              </w:rPr>
              <w:t>Common stock – authorized 800,000,000 shares of $.01 par value; issued and outstanding shares – 286,430,567 in 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660"/>
              <w:spacing w:after="0"/>
              <w:rPr>
                <w:sz w:val="20"/>
                <w:szCs w:val="20"/>
                <w:color w:val="auto"/>
              </w:rPr>
            </w:pPr>
            <w:r>
              <w:rPr>
                <w:rFonts w:ascii="Arial" w:cs="Arial" w:eastAsia="Arial" w:hAnsi="Arial"/>
                <w:sz w:val="18"/>
                <w:szCs w:val="18"/>
                <w:color w:val="auto"/>
              </w:rPr>
              <w:t>and 283,059,236 in 2010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1,138,542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194,522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(539,124)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(634,818)</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Treasury stock, at cost – 5,915,268 shares in 2011 and 2010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(57,733)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(57,733)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Office Depot, Inc.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739,285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1300"/>
              <w:spacing w:after="0"/>
              <w:rPr>
                <w:sz w:val="20"/>
                <w:szCs w:val="20"/>
                <w:color w:val="auto"/>
              </w:rPr>
            </w:pPr>
            <w:r>
              <w:rPr>
                <w:rFonts w:ascii="Arial" w:cs="Arial" w:eastAsia="Arial" w:hAnsi="Arial"/>
                <w:sz w:val="18"/>
                <w:szCs w:val="18"/>
                <w:color w:val="auto"/>
              </w:rPr>
              <w:t>Total liabilities and equity</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4,250,984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4,569,437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w w:val="86"/>
              </w:rPr>
              <w:t>11,489,533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6"/>
              </w:rPr>
              <w:t>11,633,094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12,144,467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 and occupancy costs</w:t>
            </w:r>
          </w:p>
        </w:tc>
        <w:tc>
          <w:tcPr>
            <w:tcW w:w="1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7"/>
              </w:rPr>
              <w:t>8,063,087</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7"/>
              </w:rPr>
              <w:t>8,275,957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8,752,283</w:t>
            </w:r>
          </w:p>
        </w:tc>
        <w:tc>
          <w:tcPr>
            <w:tcW w:w="1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w w:val="97"/>
              </w:rPr>
              <w:t>3,426,446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7"/>
              </w:rPr>
              <w:t>3,357,137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3,392,184</w:t>
            </w:r>
          </w:p>
        </w:tc>
        <w:tc>
          <w:tcPr>
            <w:tcW w:w="120" w:type="dxa"/>
            <w:vAlign w:val="bottom"/>
            <w:shd w:val="clear" w:color="auto" w:fill="CCEEFF"/>
          </w:tcPr>
          <w:p>
            <w:pPr>
              <w:spacing w:after="0"/>
              <w:rPr>
                <w:sz w:val="18"/>
                <w:szCs w:val="18"/>
                <w:color w:val="auto"/>
              </w:rPr>
            </w:pPr>
          </w:p>
        </w:tc>
      </w:tr>
      <w:tr>
        <w:trPr>
          <w:trHeight w:val="322"/>
        </w:trPr>
        <w:tc>
          <w:tcPr>
            <w:tcW w:w="5800" w:type="dxa"/>
            <w:vAlign w:val="bottom"/>
            <w:gridSpan w:val="2"/>
          </w:tcPr>
          <w:p>
            <w:pPr>
              <w:spacing w:after="0"/>
              <w:rPr>
                <w:sz w:val="20"/>
                <w:szCs w:val="20"/>
                <w:color w:val="auto"/>
              </w:rPr>
            </w:pPr>
            <w:r>
              <w:rPr>
                <w:rFonts w:ascii="Arial" w:cs="Arial" w:eastAsia="Arial" w:hAnsi="Arial"/>
                <w:sz w:val="18"/>
                <w:szCs w:val="18"/>
                <w:color w:val="auto"/>
              </w:rPr>
              <w:t>Store and warehouse operating and selling expenses</w:t>
            </w:r>
          </w:p>
        </w:tc>
        <w:tc>
          <w:tcPr>
            <w:tcW w:w="194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b w:val="1"/>
                <w:bCs w:val="1"/>
                <w:color w:val="auto"/>
                <w:w w:val="97"/>
              </w:rPr>
              <w:t>2,704,073</w:t>
            </w:r>
          </w:p>
        </w:tc>
        <w:tc>
          <w:tcPr>
            <w:tcW w:w="30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w w:val="97"/>
              </w:rPr>
              <w:t>2,684,301</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2,907,900</w:t>
            </w: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impairments</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51,295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688,619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658,832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723,114</w:t>
            </w:r>
          </w:p>
        </w:tc>
        <w:tc>
          <w:tcPr>
            <w:tcW w:w="1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33,754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(37,291)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(265,005)</w:t>
            </w:r>
          </w:p>
        </w:tc>
      </w:tr>
      <w:tr>
        <w:trPr>
          <w:trHeight w:val="323"/>
        </w:trPr>
        <w:tc>
          <w:tcPr>
            <w:tcW w:w="5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1,231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4,663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b w:val="1"/>
                <w:bCs w:val="1"/>
                <w:color w:val="auto"/>
              </w:rPr>
              <w:t>(33,223)</w:t>
            </w:r>
          </w:p>
        </w:tc>
        <w:tc>
          <w:tcPr>
            <w:tcW w:w="3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(58,498)</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(65,628)</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Miscellaneous income, net</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30,857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34,451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94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b w:val="1"/>
                <w:bCs w:val="1"/>
                <w:color w:val="auto"/>
              </w:rPr>
              <w:t>32,619</w:t>
            </w:r>
          </w:p>
        </w:tc>
        <w:tc>
          <w:tcPr>
            <w:tcW w:w="3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(56,675)</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(311,152)</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(63,072)</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(10,470)</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287,572</w:t>
            </w:r>
          </w:p>
        </w:tc>
        <w:tc>
          <w:tcPr>
            <w:tcW w:w="12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earnings (loss)</w:t>
            </w:r>
          </w:p>
        </w:tc>
        <w:tc>
          <w:tcPr>
            <w:tcW w:w="194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b w:val="1"/>
                <w:bCs w:val="1"/>
                <w:color w:val="auto"/>
              </w:rPr>
              <w:t>95,691</w:t>
            </w:r>
          </w:p>
        </w:tc>
        <w:tc>
          <w:tcPr>
            <w:tcW w:w="3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(46,205)</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(598,724)</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Net loss attributable to the noncontrolling interest</w:t>
            </w:r>
          </w:p>
        </w:tc>
        <w:tc>
          <w:tcPr>
            <w:tcW w:w="19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(1,582)</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(2,259)</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earnings (loss) attributable to Office Depot, Inc.</w:t>
            </w:r>
          </w:p>
        </w:tc>
        <w:tc>
          <w:tcPr>
            <w:tcW w:w="194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b w:val="1"/>
                <w:bCs w:val="1"/>
                <w:color w:val="auto"/>
              </w:rPr>
              <w:t>95,694</w:t>
            </w:r>
          </w:p>
        </w:tc>
        <w:tc>
          <w:tcPr>
            <w:tcW w:w="3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(44,623)</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(596,465)</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9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35,705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37,113</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30,506</w:t>
            </w:r>
          </w:p>
        </w:tc>
        <w:tc>
          <w:tcPr>
            <w:tcW w:w="12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(loss) attributable to common shareholders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59,989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(81,736)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(626,971)</w:t>
            </w: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3"/>
              <w:spacing w:after="0"/>
              <w:rPr>
                <w:sz w:val="20"/>
                <w:szCs w:val="20"/>
                <w:color w:val="auto"/>
              </w:rPr>
            </w:pPr>
            <w:r>
              <w:rPr>
                <w:rFonts w:ascii="Arial" w:cs="Arial" w:eastAsia="Arial" w:hAnsi="Arial"/>
                <w:sz w:val="18"/>
                <w:szCs w:val="18"/>
                <w:b w:val="1"/>
                <w:bCs w:val="1"/>
                <w:color w:val="auto"/>
              </w:rPr>
              <w:t>0.22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(0.30)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0.22</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(0.30)</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3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$ 95,691</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(46,205)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3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(21,816)</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(32,224)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Amortization of gain on cash flow hedge</w:t>
            </w:r>
          </w:p>
        </w:tc>
        <w:tc>
          <w:tcPr>
            <w:tcW w:w="2300" w:type="dxa"/>
            <w:vAlign w:val="bottom"/>
          </w:tcPr>
          <w:p>
            <w:pPr>
              <w:jc w:val="right"/>
              <w:ind w:right="114"/>
              <w:spacing w:after="0"/>
              <w:rPr>
                <w:sz w:val="20"/>
                <w:szCs w:val="20"/>
                <w:color w:val="auto"/>
              </w:rPr>
            </w:pPr>
            <w:r>
              <w:rPr>
                <w:rFonts w:ascii="Arial" w:cs="Arial" w:eastAsia="Arial" w:hAnsi="Arial"/>
                <w:sz w:val="18"/>
                <w:szCs w:val="18"/>
                <w:b w:val="1"/>
                <w:bCs w:val="1"/>
                <w:color w:val="auto"/>
              </w:rPr>
              <w:t>(1,690)</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(1,659)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deferred pension</w:t>
            </w:r>
          </w:p>
        </w:tc>
        <w:tc>
          <w:tcPr>
            <w:tcW w:w="23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(6,379)</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19,942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Change in deferred cash flow hedge</w:t>
            </w:r>
          </w:p>
        </w:tc>
        <w:tc>
          <w:tcPr>
            <w:tcW w:w="2300" w:type="dxa"/>
            <w:vAlign w:val="bottom"/>
          </w:tcPr>
          <w:p>
            <w:pPr>
              <w:jc w:val="right"/>
              <w:ind w:right="174"/>
              <w:spacing w:after="0"/>
              <w:rPr>
                <w:sz w:val="20"/>
                <w:szCs w:val="20"/>
                <w:color w:val="auto"/>
              </w:rPr>
            </w:pPr>
            <w:r>
              <w:rPr>
                <w:rFonts w:ascii="Arial" w:cs="Arial" w:eastAsia="Arial" w:hAnsi="Arial"/>
                <w:sz w:val="18"/>
                <w:szCs w:val="18"/>
                <w:b w:val="1"/>
                <w:bCs w:val="1"/>
                <w:color w:val="auto"/>
              </w:rPr>
              <w:t>617</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(246)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other comprehensive income (loss), net of tax</w:t>
            </w:r>
          </w:p>
        </w:tc>
        <w:tc>
          <w:tcPr>
            <w:tcW w:w="2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(29,268)</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(14,238)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3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66,423</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(60,443)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Less: comprehensive income (loss) attributable to the noncontrolling interest</w:t>
            </w:r>
          </w:p>
        </w:tc>
        <w:tc>
          <w:tcPr>
            <w:tcW w:w="2300" w:type="dxa"/>
            <w:vAlign w:val="bottom"/>
          </w:tcPr>
          <w:p>
            <w:pPr>
              <w:jc w:val="right"/>
              <w:ind w:right="174"/>
              <w:spacing w:after="0"/>
              <w:rPr>
                <w:sz w:val="20"/>
                <w:szCs w:val="20"/>
                <w:color w:val="auto"/>
              </w:rPr>
            </w:pPr>
            <w:r>
              <w:rPr>
                <w:rFonts w:ascii="Arial" w:cs="Arial" w:eastAsia="Arial" w:hAnsi="Arial"/>
                <w:sz w:val="18"/>
                <w:szCs w:val="18"/>
                <w:b w:val="1"/>
                <w:bCs w:val="1"/>
                <w:color w:val="auto"/>
              </w:rPr>
              <w:t>14</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(1,248)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Office Depot, Inc.</w:t>
            </w:r>
          </w:p>
        </w:tc>
        <w:tc>
          <w:tcPr>
            <w:tcW w:w="23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$ 66,409</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 (59,195)</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Retained</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Common</w:t>
            </w:r>
          </w:p>
        </w:tc>
        <w:tc>
          <w:tcPr>
            <w:tcW w:w="6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Additional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Earnings</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Stock</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Stock</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Paid-in</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w w:val="93"/>
              </w:rPr>
              <w:t>Comprehensive</w:t>
            </w:r>
          </w:p>
        </w:tc>
        <w:tc>
          <w:tcPr>
            <w:tcW w:w="6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Comprehensive</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3"/>
              </w:rPr>
              <w:t>Treasury</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color w:val="auto"/>
                <w:w w:val="97"/>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1"/>
              </w:rPr>
              <w:t>Shares</w:t>
            </w:r>
          </w:p>
        </w:tc>
        <w:tc>
          <w:tcPr>
            <w:tcW w:w="6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Amount</w:t>
            </w:r>
          </w:p>
        </w:tc>
        <w:tc>
          <w:tcPr>
            <w:tcW w:w="60" w:type="dxa"/>
            <w:vAlign w:val="bottom"/>
          </w:tcPr>
          <w:p>
            <w:pPr>
              <w:spacing w:after="0"/>
              <w:rPr>
                <w:sz w:val="13"/>
                <w:szCs w:val="13"/>
                <w:color w:val="auto"/>
              </w:rPr>
            </w:pP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Capital</w:t>
            </w:r>
          </w:p>
        </w:tc>
        <w:tc>
          <w:tcPr>
            <w:tcW w:w="60" w:type="dxa"/>
            <w:vAlign w:val="bottom"/>
          </w:tcPr>
          <w:p>
            <w:pPr>
              <w:spacing w:after="0"/>
              <w:rPr>
                <w:sz w:val="13"/>
                <w:szCs w:val="13"/>
                <w:color w:val="auto"/>
              </w:rPr>
            </w:pPr>
          </w:p>
        </w:tc>
        <w:tc>
          <w:tcPr>
            <w:tcW w:w="9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w w:val="87"/>
              </w:rPr>
              <w:t>Income (Loss)</w:t>
            </w:r>
          </w:p>
        </w:tc>
        <w:tc>
          <w:tcPr>
            <w:tcW w:w="60" w:type="dxa"/>
            <w:vAlign w:val="bottom"/>
          </w:tcPr>
          <w:p>
            <w:pPr>
              <w:spacing w:after="0"/>
              <w:rPr>
                <w:sz w:val="13"/>
                <w:szCs w:val="13"/>
                <w:color w:val="auto"/>
              </w:rPr>
            </w:pPr>
          </w:p>
        </w:tc>
        <w:tc>
          <w:tcPr>
            <w:tcW w:w="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7"/>
              </w:rPr>
              <w:t>Income (Loss)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6"/>
              </w:rPr>
              <w:t>Deficit)</w:t>
            </w:r>
          </w:p>
        </w:tc>
        <w:tc>
          <w:tcPr>
            <w:tcW w:w="40" w:type="dxa"/>
            <w:vAlign w:val="bottom"/>
          </w:tcPr>
          <w:p>
            <w:pPr>
              <w:spacing w:after="0"/>
              <w:rPr>
                <w:sz w:val="13"/>
                <w:szCs w:val="13"/>
                <w:color w:val="auto"/>
              </w:rPr>
            </w:pPr>
          </w:p>
        </w:tc>
        <w:tc>
          <w:tcPr>
            <w:tcW w:w="6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Stock</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8"/>
              </w:rPr>
              <w:t>Interest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27, 2008</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280,800,135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$1,194,622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217,197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$(57,947)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4,883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1,367,833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Purchase of subsidiary shares from noncontrolling interest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 net of tax:</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(598,724)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(596,465)</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(598,724)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25,461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Change in deferred pension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gain on cash flow hedge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Change in deferred cash flow hedge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4,657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 net of tax</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(577,234)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(577,234)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dividends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(30,506)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(30,506)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Grant of long-term incentive stock</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258,074</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(405,931)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tcPr>
          <w:p>
            <w:pPr>
              <w:spacing w:after="0" w:line="138" w:lineRule="exact"/>
              <w:rPr>
                <w:sz w:val="20"/>
                <w:szCs w:val="20"/>
                <w:color w:val="auto"/>
              </w:rPr>
            </w:pPr>
            <w:r>
              <w:rPr>
                <w:rFonts w:ascii="Arial" w:cs="Arial" w:eastAsia="Arial" w:hAnsi="Arial"/>
                <w:sz w:val="14"/>
                <w:szCs w:val="14"/>
                <w:color w:val="auto"/>
              </w:rPr>
              <w:t>Share-based payments (including income tax benefits and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ind w:left="200"/>
              <w:spacing w:after="0" w:line="159" w:lineRule="exact"/>
              <w:rPr>
                <w:sz w:val="20"/>
                <w:szCs w:val="20"/>
                <w:color w:val="auto"/>
              </w:rPr>
            </w:pPr>
            <w:r>
              <w:rPr>
                <w:rFonts w:ascii="Arial" w:cs="Arial" w:eastAsia="Arial" w:hAnsi="Arial"/>
                <w:sz w:val="14"/>
                <w:szCs w:val="14"/>
                <w:color w:val="auto"/>
              </w:rPr>
              <w:t>withholding)</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(4,096)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stock purchase plans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Amortization of long-term incentive stock grant</w:t>
            </w: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33,319</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33,319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26, 2009</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280,652,278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2,807</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$1,193,157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238,379</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(590,195)</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$(57,733)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789,242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Disposition of majority-owned subsidiaries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subsidiary shares from noncontrolling interest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(16,066)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(46,205)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(44,623)</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(32,224)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(32,558)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deferred pension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gain on cash flow hedge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deferred cash flow hedge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loss, net of tax</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(60,443)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(60,443)</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Preferred stock dividends</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(37,113)</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(37,113)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 of long-term incentive stock</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223,762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(236,512)</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Exercise of stock options (including income tax benefits and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withholding)</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2,419,708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w:t>
            </w:r>
          </w:p>
        </w:tc>
        <w:tc>
          <w:tcPr>
            <w:tcW w:w="7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Amortization of long-term incentive stock grant</w:t>
            </w: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20,843</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20,843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25, 2010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283,059,236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2,831</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$1,161,409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223,807</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(634,818)</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$(57,733)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695,975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Purchase of subsidiary shares from noncontrolling interest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95,694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(21,816)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(21,833))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deferred pension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(6,379)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gain on cash flow hedge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deferred cash flow hedge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 net of tax</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66,423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66,423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dividends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(35,705)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Grant of long-term incentive stock</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2,641,074</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(342,281)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tcPr>
          <w:p>
            <w:pPr>
              <w:spacing w:after="0" w:line="138" w:lineRule="exact"/>
              <w:rPr>
                <w:sz w:val="20"/>
                <w:szCs w:val="20"/>
                <w:color w:val="auto"/>
              </w:rPr>
            </w:pPr>
            <w:r>
              <w:rPr>
                <w:rFonts w:ascii="Arial" w:cs="Arial" w:eastAsia="Arial" w:hAnsi="Arial"/>
                <w:sz w:val="14"/>
                <w:szCs w:val="14"/>
                <w:color w:val="auto"/>
                <w:w w:val="98"/>
              </w:rPr>
              <w:t>Exercise of stock options (including income tax benefits and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ind w:left="200"/>
              <w:spacing w:after="0" w:line="159" w:lineRule="exact"/>
              <w:rPr>
                <w:sz w:val="20"/>
                <w:szCs w:val="20"/>
                <w:color w:val="auto"/>
              </w:rPr>
            </w:pPr>
            <w:r>
              <w:rPr>
                <w:rFonts w:ascii="Arial" w:cs="Arial" w:eastAsia="Arial" w:hAnsi="Arial"/>
                <w:sz w:val="14"/>
                <w:szCs w:val="14"/>
                <w:color w:val="auto"/>
              </w:rPr>
              <w:t>withholding)</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1,072,538</w:t>
            </w:r>
          </w:p>
        </w:tc>
        <w:tc>
          <w:tcPr>
            <w:tcW w:w="80" w:type="dxa"/>
            <w:vAlign w:val="bottom"/>
          </w:tcPr>
          <w:p>
            <w:pPr>
              <w:spacing w:after="0"/>
              <w:rPr>
                <w:sz w:val="13"/>
                <w:szCs w:val="13"/>
                <w:color w:val="auto"/>
              </w:rPr>
            </w:pPr>
          </w:p>
        </w:tc>
        <w:tc>
          <w:tcPr>
            <w:tcW w:w="5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Amortization of long-term incentive stock grant</w:t>
            </w:r>
          </w:p>
        </w:tc>
        <w:tc>
          <w:tcPr>
            <w:tcW w:w="7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13,895</w:t>
            </w: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2011</w:t>
            </w:r>
          </w:p>
        </w:tc>
        <w:tc>
          <w:tcPr>
            <w:tcW w:w="86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w w:val="89"/>
              </w:rPr>
              <w:t>286,430,567</w:t>
            </w: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2,864</w:t>
            </w:r>
          </w:p>
        </w:tc>
        <w:tc>
          <w:tcPr>
            <w:tcW w:w="78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color w:val="auto"/>
                <w:w w:val="91"/>
              </w:rPr>
              <w:t>$1,138,542</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194,522</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(539,124)</w:t>
            </w:r>
          </w:p>
        </w:tc>
        <w:tc>
          <w:tcPr>
            <w:tcW w:w="6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color w:val="auto"/>
                <w:w w:val="93"/>
              </w:rPr>
              <w:t>$(57,733)</w:t>
            </w: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739,285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2010</w:t>
            </w: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95,691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(46,205)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$(598,724)</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w w:val="95"/>
              </w:rPr>
              <w:t>211,410</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w w:val="95"/>
              </w:rPr>
              <w:t>208,319</w:t>
            </w:r>
          </w:p>
        </w:tc>
        <w:tc>
          <w:tcPr>
            <w:tcW w:w="980" w:type="dxa"/>
            <w:vAlign w:val="bottom"/>
          </w:tcPr>
          <w:p>
            <w:pPr>
              <w:jc w:val="right"/>
              <w:spacing w:after="0"/>
              <w:rPr>
                <w:sz w:val="20"/>
                <w:szCs w:val="20"/>
                <w:color w:val="auto"/>
              </w:rPr>
            </w:pPr>
            <w:r>
              <w:rPr>
                <w:rFonts w:ascii="Arial" w:cs="Arial" w:eastAsia="Arial" w:hAnsi="Arial"/>
                <w:sz w:val="18"/>
                <w:szCs w:val="18"/>
                <w:color w:val="auto"/>
              </w:rPr>
              <w:t>224,115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for losses on inventories and receivables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56,200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57,824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Net earnings from equity method investments</w:t>
            </w:r>
          </w:p>
        </w:tc>
        <w:tc>
          <w:tcPr>
            <w:tcW w:w="5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(31,426)</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(30,635)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(30,579)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25,016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asset impairments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51,295</w:t>
            </w:r>
          </w:p>
        </w:tc>
        <w:tc>
          <w:tcPr>
            <w:tcW w:w="980" w:type="dxa"/>
            <w:vAlign w:val="bottom"/>
          </w:tcPr>
          <w:p>
            <w:pPr>
              <w:jc w:val="right"/>
              <w:spacing w:after="0"/>
              <w:rPr>
                <w:sz w:val="20"/>
                <w:szCs w:val="20"/>
                <w:color w:val="auto"/>
              </w:rPr>
            </w:pPr>
            <w:r>
              <w:rPr>
                <w:rFonts w:ascii="Arial" w:cs="Arial" w:eastAsia="Arial" w:hAnsi="Arial"/>
                <w:sz w:val="18"/>
                <w:szCs w:val="18"/>
                <w:color w:val="auto"/>
              </w:rPr>
              <w:t>26,175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expense for share-based payments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13,895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20,840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Deferred income taxes and valuation allowances on deferred tax assets</w:t>
            </w:r>
          </w:p>
        </w:tc>
        <w:tc>
          <w:tcPr>
            <w:tcW w:w="5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(14,999)</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15,551</w:t>
            </w:r>
          </w:p>
        </w:tc>
        <w:tc>
          <w:tcPr>
            <w:tcW w:w="980" w:type="dxa"/>
            <w:vAlign w:val="bottom"/>
          </w:tcPr>
          <w:p>
            <w:pPr>
              <w:jc w:val="right"/>
              <w:spacing w:after="0"/>
              <w:rPr>
                <w:sz w:val="20"/>
                <w:szCs w:val="20"/>
                <w:color w:val="auto"/>
              </w:rPr>
            </w:pPr>
            <w:r>
              <w:rPr>
                <w:rFonts w:ascii="Arial" w:cs="Arial" w:eastAsia="Arial" w:hAnsi="Arial"/>
                <w:sz w:val="18"/>
                <w:szCs w:val="18"/>
                <w:color w:val="auto"/>
              </w:rPr>
              <w:t>325,886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disposition of assets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4,420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8,709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operating activities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19,937</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11,501</w:t>
            </w:r>
          </w:p>
        </w:tc>
        <w:tc>
          <w:tcPr>
            <w:tcW w:w="980" w:type="dxa"/>
            <w:vAlign w:val="bottom"/>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Decrease (increase) in receivables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99,927</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60,273</w:t>
            </w:r>
          </w:p>
        </w:tc>
        <w:tc>
          <w:tcPr>
            <w:tcW w:w="980" w:type="dxa"/>
            <w:vAlign w:val="bottom"/>
          </w:tcPr>
          <w:p>
            <w:pPr>
              <w:jc w:val="right"/>
              <w:spacing w:after="0"/>
              <w:rPr>
                <w:sz w:val="20"/>
                <w:szCs w:val="20"/>
                <w:color w:val="auto"/>
              </w:rPr>
            </w:pPr>
            <w:r>
              <w:rPr>
                <w:rFonts w:ascii="Arial" w:cs="Arial" w:eastAsia="Arial" w:hAnsi="Arial"/>
                <w:sz w:val="18"/>
                <w:szCs w:val="18"/>
                <w:color w:val="auto"/>
              </w:rPr>
              <w:t>126,131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inventories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53,902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(87,724)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Net decrease (increase) in prepaid expenses and other assets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25,754</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2,522</w:t>
            </w:r>
          </w:p>
        </w:tc>
        <w:tc>
          <w:tcPr>
            <w:tcW w:w="980" w:type="dxa"/>
            <w:vAlign w:val="bottom"/>
          </w:tcPr>
          <w:p>
            <w:pPr>
              <w:jc w:val="right"/>
              <w:spacing w:after="0"/>
              <w:rPr>
                <w:sz w:val="20"/>
                <w:szCs w:val="20"/>
                <w:color w:val="auto"/>
              </w:rPr>
            </w:pPr>
            <w:r>
              <w:rPr>
                <w:rFonts w:ascii="Arial" w:cs="Arial" w:eastAsia="Arial" w:hAnsi="Arial"/>
                <w:sz w:val="18"/>
                <w:szCs w:val="18"/>
                <w:color w:val="auto"/>
              </w:rPr>
              <w:t>28,165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Net increase (decrease) in accounts payable, accrued expenses and other long-term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w w:val="88"/>
              </w:rPr>
              <w:t>(360,060)</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(69,144)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adjustments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95"/>
              </w:rPr>
              <w:t>103,976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5"/>
              </w:rPr>
              <w:t>249,331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w w:val="95"/>
              </w:rPr>
              <w:t>199,667</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5"/>
              </w:rPr>
              <w:t>203,126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w w:val="88"/>
              </w:rPr>
              <w:t>(130,317)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88"/>
              </w:rPr>
              <w:t>(169,452)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(130,847)</w:t>
            </w: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Acquisitions, net of cash acquired, and related payments</w:t>
            </w:r>
          </w:p>
        </w:tc>
        <w:tc>
          <w:tcPr>
            <w:tcW w:w="5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(72,667)</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(10,952)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disposition of assets and other</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8,117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35,393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(8,800)</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(46,509)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Release of restricted cash</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46,509</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8"/>
                <w:szCs w:val="18"/>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Pr>
          <w:p>
            <w:pPr>
              <w:spacing w:after="0"/>
              <w:rPr>
                <w:sz w:val="20"/>
                <w:szCs w:val="20"/>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w w:val="88"/>
              </w:rPr>
              <w:t>(157,158)</w:t>
            </w:r>
          </w:p>
        </w:tc>
        <w:tc>
          <w:tcPr>
            <w:tcW w:w="320" w:type="dxa"/>
            <w:vAlign w:val="bottom"/>
          </w:tcPr>
          <w:p>
            <w:pPr>
              <w:spacing w:after="0"/>
              <w:rPr>
                <w:sz w:val="20"/>
                <w:szCs w:val="20"/>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w w:val="88"/>
              </w:rPr>
              <w:t>(191,520)</w:t>
            </w:r>
          </w:p>
        </w:tc>
        <w:tc>
          <w:tcPr>
            <w:tcW w:w="980" w:type="dxa"/>
            <w:vAlign w:val="bottom"/>
          </w:tcPr>
          <w:p>
            <w:pPr>
              <w:jc w:val="right"/>
              <w:spacing w:after="0"/>
              <w:rPr>
                <w:sz w:val="20"/>
                <w:szCs w:val="20"/>
                <w:color w:val="auto"/>
              </w:rPr>
            </w:pPr>
            <w:r>
              <w:rPr>
                <w:rFonts w:ascii="Arial" w:cs="Arial" w:eastAsia="Arial" w:hAnsi="Arial"/>
                <w:sz w:val="18"/>
                <w:szCs w:val="18"/>
                <w:color w:val="auto"/>
              </w:rPr>
              <w:t>25,321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Net proceeds from employee share-based transactions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254</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1,011</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 received</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8,800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Payment for non-controlling interests</w:t>
            </w:r>
          </w:p>
        </w:tc>
        <w:tc>
          <w:tcPr>
            <w:tcW w:w="54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(1,262)</w:t>
            </w:r>
          </w:p>
        </w:tc>
        <w:tc>
          <w:tcPr>
            <w:tcW w:w="32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(21,786)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(9,945)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(4,688)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Proceeds from issuance of redeemable preferred stock, net</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on redeemable preferred stock</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(36,852)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(27,639)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Proceeds from issuance of borrowings</w:t>
            </w:r>
          </w:p>
        </w:tc>
        <w:tc>
          <w:tcPr>
            <w:tcW w:w="54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b w:val="1"/>
                <w:bCs w:val="1"/>
                <w:color w:val="auto"/>
              </w:rPr>
              <w:t>9,598</w:t>
            </w:r>
          </w:p>
        </w:tc>
        <w:tc>
          <w:tcPr>
            <w:tcW w:w="3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52,488</w:t>
            </w:r>
          </w:p>
        </w:tc>
        <w:tc>
          <w:tcPr>
            <w:tcW w:w="980" w:type="dxa"/>
            <w:vAlign w:val="bottom"/>
          </w:tcPr>
          <w:p>
            <w:pPr>
              <w:jc w:val="right"/>
              <w:spacing w:after="0"/>
              <w:rPr>
                <w:sz w:val="20"/>
                <w:szCs w:val="20"/>
                <w:color w:val="auto"/>
              </w:rPr>
            </w:pPr>
            <w:r>
              <w:rPr>
                <w:rFonts w:ascii="Arial" w:cs="Arial" w:eastAsia="Arial" w:hAnsi="Arial"/>
                <w:sz w:val="18"/>
                <w:szCs w:val="18"/>
                <w:color w:val="auto"/>
              </w:rPr>
              <w:t>24,321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 and short-term borrowings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(69,169)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(30,284)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(175,863)</w:t>
            </w: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Pr>
          <w:p>
            <w:pPr>
              <w:spacing w:after="0"/>
              <w:rPr>
                <w:sz w:val="20"/>
                <w:szCs w:val="20"/>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(98,576)</w:t>
            </w:r>
          </w:p>
        </w:tc>
        <w:tc>
          <w:tcPr>
            <w:tcW w:w="320" w:type="dxa"/>
            <w:vAlign w:val="bottom"/>
          </w:tcPr>
          <w:p>
            <w:pPr>
              <w:spacing w:after="0"/>
              <w:rPr>
                <w:sz w:val="20"/>
                <w:szCs w:val="20"/>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(30,898)</w:t>
            </w:r>
          </w:p>
        </w:tc>
        <w:tc>
          <w:tcPr>
            <w:tcW w:w="980" w:type="dxa"/>
            <w:vAlign w:val="bottom"/>
          </w:tcPr>
          <w:p>
            <w:pPr>
              <w:jc w:val="right"/>
              <w:spacing w:after="0"/>
              <w:rPr>
                <w:sz w:val="20"/>
                <w:szCs w:val="20"/>
                <w:color w:val="auto"/>
              </w:rPr>
            </w:pPr>
            <w:r>
              <w:rPr>
                <w:rFonts w:ascii="Arial" w:cs="Arial" w:eastAsia="Arial" w:hAnsi="Arial"/>
                <w:sz w:val="18"/>
                <w:szCs w:val="18"/>
                <w:color w:val="auto"/>
              </w:rPr>
              <w:t>173,294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(730)</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(13,128)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b w:val="1"/>
                <w:bCs w:val="1"/>
                <w:color w:val="auto"/>
              </w:rPr>
              <w:t>(56,797)</w:t>
            </w:r>
          </w:p>
        </w:tc>
        <w:tc>
          <w:tcPr>
            <w:tcW w:w="32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(32,420)</w:t>
            </w:r>
          </w:p>
        </w:tc>
        <w:tc>
          <w:tcPr>
            <w:tcW w:w="980" w:type="dxa"/>
            <w:vAlign w:val="bottom"/>
          </w:tcPr>
          <w:p>
            <w:pPr>
              <w:jc w:val="right"/>
              <w:spacing w:after="0"/>
              <w:rPr>
                <w:sz w:val="20"/>
                <w:szCs w:val="20"/>
                <w:color w:val="auto"/>
              </w:rPr>
            </w:pPr>
            <w:r>
              <w:rPr>
                <w:rFonts w:ascii="Arial" w:cs="Arial" w:eastAsia="Arial" w:hAnsi="Arial"/>
                <w:sz w:val="18"/>
                <w:szCs w:val="18"/>
                <w:color w:val="auto"/>
              </w:rPr>
              <w:t>504,153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w w:val="95"/>
              </w:rPr>
              <w:t>627,478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5"/>
              </w:rPr>
              <w:t>659,898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155,745</w:t>
            </w:r>
          </w:p>
        </w:tc>
        <w:tc>
          <w:tcPr>
            <w:tcW w:w="100" w:type="dxa"/>
            <w:vAlign w:val="bottom"/>
            <w:shd w:val="clear" w:color="auto" w:fill="CCEEFF"/>
          </w:tcPr>
          <w:p>
            <w:pPr>
              <w:spacing w:after="0"/>
              <w:rPr>
                <w:sz w:val="18"/>
                <w:szCs w:val="18"/>
                <w:color w:val="auto"/>
              </w:rPr>
            </w:pPr>
          </w:p>
        </w:tc>
      </w:tr>
      <w:tr>
        <w:trPr>
          <w:trHeight w:val="223"/>
        </w:trPr>
        <w:tc>
          <w:tcPr>
            <w:tcW w:w="7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95"/>
              </w:rPr>
              <w:t>570,681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5"/>
              </w:rPr>
              <w:t>627,478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$ 659,898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SUMMARY OF SIGNIFICANT ACCOUNTING POLICIES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color w:val="auto"/>
        </w:rPr>
        <w:t>Office Depot, Inc. (“Office Depot”) is a global supplier of office products and services under the Office Depot® brand and other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brand names. As of December 31, 2011, we sold to customers throughout North America, Europe, Asia and Latin America. We operate wholly-owned entities, majority-owned entities or participate in other ventures and alliances.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consolidated financial statements of Office Depot and its subsidiaries have been prepared in accordance with accounting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in the United States of America. All intercompany transactions have been eliminated in consolidation. In addition to wholly owned subsidiaries, we consolidate entities where we control financial and operating policies but do not have total ownership. Noncontrolling interests are presented in the Consolidated Balance Sheets and Consolidated Statements of Stockholders’ Equity as a component of total stockholders’ equity and in the Consolidated Statements of Operations as a specific allocation of net earnings (loss). The equity method of accounting is used for our investments in which we do not control but we either share control equally or have significant influence. During 2010, we amended the shareholders’ agreement related to our venture in India such that control is now shared equally. The venture was deconsolidated and subsequently accounted for under the equity method. The remaining investment at year end 2011 and 2010 in this venture is considered immaterial. We also participate in a joint venture selling office products and services in Mexico and Central and South America that is accounted for using the equity method with its results presented in miscellaneous income, net in the Consolidated Statements of Operations. Our investment at year end 2011 and 2010 of $196.9 million and $205.8 million, respectively, is included in other assets in the Consolidated Balance Sheets. We received dividends of $25 million in 2011 and $14 million in 2009 from this joint venture.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year amounts in the income tax rate reconciliation included in Note F – Income Taxes have been recast to provide additional components reported in the current year presentation. Similarly, certain prior year amounts in the reconciliation of Division operating profit to Income (loss) before taxes in Note O – Segment Information have been recast to conform to the current year presentation.</w:t>
      </w:r>
    </w:p>
    <w:p>
      <w:pPr>
        <w:spacing w:after="0" w:line="134"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Fiscal years are based on a 52- or 53-week period ending on the last Saturday in December. Our fiscal 2011 financial statements consisted of 53</w:t>
      </w:r>
      <w:r>
        <w:rPr>
          <w:rFonts w:ascii="Arial" w:cs="Arial" w:eastAsia="Arial" w:hAnsi="Arial"/>
          <w:sz w:val="16"/>
          <w:szCs w:val="16"/>
          <w:b w:val="1"/>
          <w:bCs w:val="1"/>
          <w:color w:val="auto"/>
        </w:rPr>
        <w:t xml:space="preserve"> </w:t>
      </w:r>
      <w:r>
        <w:rPr>
          <w:rFonts w:ascii="Arial" w:cs="Arial" w:eastAsia="Arial" w:hAnsi="Arial"/>
          <w:sz w:val="16"/>
          <w:szCs w:val="16"/>
          <w:color w:val="auto"/>
        </w:rPr>
        <w:t>weeks, with the additional week occurring in our fourth quarter; all other periods presented in our consolidated financial statements consisted of 52 weeks.</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Estimates and Assumptions: </w:t>
      </w:r>
      <w:r>
        <w:rPr>
          <w:rFonts w:ascii="Arial" w:cs="Arial" w:eastAsia="Arial" w:hAnsi="Arial"/>
          <w:sz w:val="16"/>
          <w:szCs w:val="16"/>
          <w:color w:val="auto"/>
        </w:rPr>
        <w:t>Preparation of these financial statements in conformity with accounting principles generally accepted in the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requires management to make estimates and assumptions that affect amounts reported in the financial statements and related notes. For example, estimates are required for, but not limited to, facility closure costs, asset impairments, fair value measurements, amounts earned under vendor programs, inventory valuation, contingencies and valuation allowances on deferred tax assets. Actual results may differ from those estimates.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Assets and liabilities of international operations are translated into U.S. dollars using the exchange rate at the balance sheet date.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cash flows are translated at average monthly exchange rates. Translation adjustments resulting from this process are recorded in stockholders’ equity as a component of accumulated other comprehensive income (“OCI”).</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Monetary assets and liabilities denominated in a currency other than a consolidated entity’s functional currency result in transaction gains or losses from the remeasurement at spot rates at the end of the period. Foreign currency gains and losses are recorded in miscellaneous income, net in the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All short-term highly liquid investments with maturities of three months or less from the</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date of acquisition are classified as cash equivalents. Amounts in transit from banks for customer credit card and debit card transactions that process in less than seven days are classified as cash. The banks process the majority of these amounts within one to two business days. Approximately $9 million and $53 million of restricted cash held on deposit was included in other current assets at December 31, 2011 and December 25, 2010, respectively. The 2011 amount relates to an advance received that was placed in escrow and ultimately settled in January 2012. Approximately $47 million of restricted cash at the end of the year 2010 relates to the acquisition of Svanströms Gruppen (Frans Svanströms &amp; Co AB) which was initiated in 2010 and completed in the first quarter of 2011.</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Cash Management: </w:t>
      </w:r>
      <w:r>
        <w:rPr>
          <w:rFonts w:ascii="Arial" w:cs="Arial" w:eastAsia="Arial" w:hAnsi="Arial"/>
          <w:sz w:val="18"/>
          <w:szCs w:val="18"/>
          <w:color w:val="auto"/>
        </w:rPr>
        <w:t>Our cash management process generally utilizes zero balance accounts which provide for the settlement of the related disbursement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cash concentration on a daily basis. Accounts payable and accrued expenses as of December 31, 2011 and December 25, 2010 included $50 million and $64 million, respectively, of amounts not yet presented for payment drawn in excess of disbursement account book balances, after considering existing offset provisions. We may borrow during the period, which may result in higher levels of borrowings and invested cash within the period. At the end of the period, cash may be used to minimize borrowings outstanding at the balance sheet date. Approximately $174 million of our cash and cash equivalents was held outside the U.S. at December 31, 2011.</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Receivables: </w:t>
      </w:r>
      <w:r>
        <w:rPr>
          <w:rFonts w:ascii="Arial" w:cs="Arial" w:eastAsia="Arial" w:hAnsi="Arial"/>
          <w:sz w:val="18"/>
          <w:szCs w:val="18"/>
          <w:color w:val="auto"/>
        </w:rPr>
        <w:t>Trade receivables, net, totaled $631.7 million and $687.4 million at December 31, 2011 and December 25, 2010, respectively. An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has been recorded to reduce receivables to an amount expected to be collectible from customers. The allowance recorded at December 31, 2011 and December 25, 2010 was $19.7 million and $28.0 million, respectively.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credit risk associated with trade receivables is limited by having a large customer base that extends across many different industries and geographic regions. However, receivables may be adversely affected by an economic slowdown in the U.S. or internationally. No single customer accounted for more than 10% of our total sales in 2011, 2010 or 2009.</w:t>
      </w:r>
    </w:p>
    <w:p>
      <w:pPr>
        <w:spacing w:after="0" w:line="14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Other receivables are $231.1 million and $276.4 million as of December 31, 2011 and December 25, 2010, respectively, of which $181.6 million and $198.3 million are amounts due from vendors under purchase rebate, cooperative advertising and various other marketing programs.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 Inventories are stated at the lower of cost or market value and are reduced for inventory losses based on physical counts. In-bound freight is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as a cost of inventories. Also, certain vendor allowances that are related to inventory purchases are considered to reduce the product cost. The weighted average method is used to determine the cost of our inventory in North America and the first-in-first-out method is used for inventory held within our international operations.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Income tax expense is recognized at applicable U.S. or international tax rates. Certain revenue and expense items may be recognized in one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for financial statement purposes and in a different period’s income tax return. The tax effects of such differences are reported as deferred income taxes. Valuation allowances are recorded for periods in which realization of deferred tax assets does not meet a more likely than not standard. See Note F for additional information on deferred income taxes.</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 Property and equipment additions are recorded at cost. Depreciation and amortization is recognized over their estimated useful lives</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straight-line method. The useful lives of depreciable assets are estimated to be 15-30 years for buildings and 3-10 years for furniture, fixtures and equipment. Computer software is amortized over three years for common office applications, five years for larger business applications and seven years for certain enterprise-wide systems. Leasehold improvements are amortized over the shorter of the estimated economic lives of the improvements or the terms of the underlying leases, including renewal options considered reasonably assured at inception of the leases.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and related costs over the value assigned to net tangible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of businesses acquired. We test for possible goodwill impairment annually in the fourth quarter, or sooner if indications of possible impairment are identified. We use a discounted cash flow analysis that requires that certain assumptions and estimates be made regarding industry economic factors and future profitability.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conditions warrant earlier action, intangible assets with indefinite lives also are tested annually for impairment during the fourth quarter using a discounted cash flow approach.</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amortize the cost of other intangible assets over their estimated useful lives. Amortizable intangible assets are reviewed at least annually to determine whether events and circumstances warrant a revision to the remaining period of amortization.</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Long-lived assets with identifiable cash flows are reviewed for possible impairment annually or whenever events or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circumstances indicate that the carrying amount of such assets may not be recoverable.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estimated fair value of the asset less its carrying value and any costs of disposition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fair value estimate is generally the discounted amount of estimated store-specific cash flows. Impairment losses of $11.4 million, $2.3 million and $3.5 million were recognized in 2011, 2010 and 2009, respectively, relating to certain under-performing retail stores.</w:t>
      </w:r>
    </w:p>
    <w:p>
      <w:pPr>
        <w:spacing w:after="0" w:line="11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Facility Closure Costs</w:t>
      </w:r>
      <w:r>
        <w:rPr>
          <w:rFonts w:ascii="Arial" w:cs="Arial" w:eastAsia="Arial" w:hAnsi="Arial"/>
          <w:sz w:val="16"/>
          <w:szCs w:val="16"/>
          <w:color w:val="auto"/>
        </w:rPr>
        <w:t>: We regularly review store performance against expectations and close stores not meeting our performance requirements. Costs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store or other facility closures, principally accrued lease costs, are recognized when the facility is no longer used in an operating capacity or when a liability has been incurred. Store assets are also reviewed for possible impairment, or reduction of estimated useful lives.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Accruals for facility closure costs are based on the future commitments under contracts, adjusted for assumed sublease benefits and discounted at the company’s risk-adjusted rate at the time of closing. We recorded charges relating to facilities closed totaling $9 million, $5 million and $126 million in 2011, 2010 and 2009, respectively. Additionally, we recognize charges to terminate existing commitments and to adjust remaining commitments to current market values. The accrued balance relating to our future commitments under operating leases for all of our closed facilities, including those in Note B, was $106 million and $133 million at December 31, 2011 and December 25, 2010, respectively. The short-term and long-term components of this liability are included in accrued expenses and other long-term liabilities, respectively, on the Consolidated Balance Sheets.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Accrued Expenses: </w:t>
      </w:r>
      <w:r>
        <w:rPr>
          <w:rFonts w:ascii="Arial" w:cs="Arial" w:eastAsia="Arial" w:hAnsi="Arial"/>
          <w:sz w:val="18"/>
          <w:szCs w:val="18"/>
          <w:color w:val="auto"/>
        </w:rPr>
        <w:t>Included in accrued expenses and other current liabilities in our Consolidated Balance Sheets are accrued payroll-related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$262 million and $273 million at December 31, 2011 and December 25, 2010, respectively.</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estimated fair values of financial instruments recognized in the Consolidated Balance Sheets or disclosed within these</w:t>
      </w:r>
      <w:r>
        <w:rPr>
          <w:rFonts w:ascii="Arial" w:cs="Arial" w:eastAsia="Arial" w:hAnsi="Arial"/>
          <w:sz w:val="16"/>
          <w:szCs w:val="16"/>
          <w:b w:val="1"/>
          <w:bCs w:val="1"/>
          <w:color w:val="auto"/>
        </w:rPr>
        <w:t xml:space="preserve"> </w:t>
      </w:r>
      <w:r>
        <w:rPr>
          <w:rFonts w:ascii="Arial" w:cs="Arial" w:eastAsia="Arial" w:hAnsi="Arial"/>
          <w:sz w:val="16"/>
          <w:szCs w:val="16"/>
          <w:color w:val="auto"/>
        </w:rPr>
        <w:t>Notes to Consolidated Financial Statements have been determined using available market information, information from unrelated third-party financial institutions and appropriate valuation methodologies, primarily discounted projected cash flows. However, considerable judgment is required when interpreting market information and other data to develop estimates of fair value. See Note I for additional information on fair value.</w:t>
      </w:r>
    </w:p>
    <w:p>
      <w:pPr>
        <w:spacing w:after="0" w:line="1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is recognized at the point of sale for retail transactions and at the time of successful delivery for contract, catalog and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Sales taxes collected are not included in reported sales. We use judgment in estimating sales returns, considering numerous factors including historical sales return rates. Although we consider our sales return accruals to be adequate and proper, changes from historical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customer patterns could require adjustments to the provision for returns. We also record reductions to our revenues for customer programs and incentive offerings including special pricing agreements, certain promotions and other volume-based incentives. Revenue from sales of extended warranty service plans is either recognized at the point of sale or over the warranty period, depending on the determination of legal obligor status. All performance obligations and risk of loss associated with such contracts are transferred to an unrelated third-party administrator at the time the contracts are sold. Costs associated with these contracts are recognized in the same period as the related revenue.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recognize a liability for future performance when gift cards are sold and recognize the related revenue when gift cards are redeemed as payment for our products. We recognize as revenue the unused portion of the gift card liability when historical data indicates that additional redemption is remote.</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fees, royalty income and the sales of products to our franchisees and licensees are included in sales, while product costs are included in cost of goods sold and occupancy costs in the Consolidated Statements of Operations.</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Cost of goods sold and occupancy: </w:t>
      </w:r>
      <w:r>
        <w:rPr>
          <w:rFonts w:ascii="Arial" w:cs="Arial" w:eastAsia="Arial" w:hAnsi="Arial"/>
          <w:sz w:val="16"/>
          <w:szCs w:val="16"/>
          <w:color w:val="auto"/>
        </w:rPr>
        <w:t>We include in cost of goods sold and occupancy costs, inventory costs, net of estimable vendor allowances and rebates, cash</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discounts on purchased inventory, freight costs incurred to bring merchandise to stores and warehouses, provisions for inventory value and physical adjustments and occupancy costs, including depreciation or facility rent of inventory-holding and selling locations and related utilities.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Shipping and Handling Fees and Costs: </w:t>
      </w:r>
      <w:r>
        <w:rPr>
          <w:rFonts w:ascii="Arial" w:cs="Arial" w:eastAsia="Arial" w:hAnsi="Arial"/>
          <w:sz w:val="18"/>
          <w:szCs w:val="18"/>
          <w:color w:val="auto"/>
        </w:rPr>
        <w:t>Income generated from shipping and handling fees is classified as revenues for all periods presented. Freight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to ship merchandise to customers are recorded as a component of store and warehouse operating and selling expenses. Shipping costs, combined with warehouse handling costs, totaled $727.0 million in 2011, $747.1 million in 2010 and $767.6 million in 2009. Other companies may present shipping and handling costs in cost of goods sold. Accordingly, our presentation of cost of goods sold and gross profit may not be comparable to similarly titled captions used by other companies.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Store and warehouse operating and selling expenses: </w:t>
      </w:r>
      <w:r>
        <w:rPr>
          <w:rFonts w:ascii="Arial" w:cs="Arial" w:eastAsia="Arial" w:hAnsi="Arial"/>
          <w:sz w:val="18"/>
          <w:szCs w:val="18"/>
          <w:color w:val="auto"/>
        </w:rPr>
        <w:t>This caption includes employee payroll and benefits and other operating costs incurred relating to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as well as warehouse activities, such as those relating to picking, packing and outbound delivery. We also include advertising expenses, accretion relating to closed facilities, and asset impairments of assets used in operations.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include, employee payroll and benefits, as well as other expenses for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various staff functions, such as information technology, most human resources functions, finance, legal, internal audit, and certain merchandising and product development functions. Gains, losses and impairment charges relating to assets used to support these functions, as well as certain charges related to company-directed activities are included in this caption. General and administrative expenses are allocated to our segments in determination of Division operating profit to the extent those costs are considered to be directly or closely related to segment activity.</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charged either to expense when incurred or, in the case of direct marketing advertising, capitalized and amortized in</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 to the related revenues over the estimated life of the material, which range from several months to up to one year.</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expense recognized was $434.6 million in 2011, $469.5 million in 2010 and $453.3 million in 2009. Prepaid advertising costs were $28.3 million as of December 31, 2011 and $40.9 million as of December 25, 2010.</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account for stock-based compensation using the fair value method of expense recognition. We use the Black-Scholes valuation model and recognize compensation expense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 straight-line basis over the requisite service period of the grant. We consider alternative models if grants have characteristics that cannot be reasonably estimated using this model.</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Pre-opening Expenses: </w:t>
      </w:r>
      <w:r>
        <w:rPr>
          <w:rFonts w:ascii="Arial" w:cs="Arial" w:eastAsia="Arial" w:hAnsi="Arial"/>
          <w:sz w:val="18"/>
          <w:szCs w:val="18"/>
          <w:color w:val="auto"/>
        </w:rPr>
        <w:t>Pre-opening expenses related to opening new stores and warehouses or relocating existing stores and warehouses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included in store and warehouse operating and selling expenses.</w:t>
      </w:r>
    </w:p>
    <w:p>
      <w:pPr>
        <w:spacing w:after="0" w:line="120"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Office Depot is primarily self-insured for workers’ compensation, auto and general liability and employee medical insurance programs. Self-insurance liabilities are based on claims filed and estimates of claims incurred but not reported. These liabilities are not discounted.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Comprehensive Income (Loss): </w:t>
      </w:r>
      <w:r>
        <w:rPr>
          <w:rFonts w:ascii="Arial" w:cs="Arial" w:eastAsia="Arial" w:hAnsi="Arial"/>
          <w:sz w:val="18"/>
          <w:szCs w:val="18"/>
          <w:color w:val="auto"/>
        </w:rPr>
        <w:t>Comprehensive income (loss) represents the change in stockholders’ equity from transactions and other events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arising from non-stockholder sources. Comprehensive income consists of net earnings (loss), foreign currency translation adjustments, deferred pension gains (losses), and elements of qualifying cash flow hedges, net of applicable income taxes. As of December 31, 2011, and December 25, 2010, our Consolidated Balance Sheet reflected accumulated OCI in the amount of $195 million and $224 million, which consisted of $193 million and $214 million in foreign currency translation adjustments, $3 million and $4 million in unamortized gain on hedge and $1 million in deferred pension loss and $6 million in deferred pension gain, respectively.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Vendor Arrangements: </w:t>
      </w:r>
      <w:r>
        <w:rPr>
          <w:rFonts w:ascii="Arial" w:cs="Arial" w:eastAsia="Arial" w:hAnsi="Arial"/>
          <w:sz w:val="16"/>
          <w:szCs w:val="16"/>
          <w:color w:val="auto"/>
        </w:rPr>
        <w:t>We enter into arrangements with substantially all of our significant vendors that provide for some form of consideration to be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vendors. Arrangements vary, but some specify volume rebate thresholds, advertising support levels, as well as terms for payment and other administrative matters. The volume-based rebates, supported by a vendor agreement, are estimated throughout the year and reduce the cost of inventory and cost of goods sold during the year. This estimate is regularly monitored and adjusted for current or anticipated changes in purchase levels and for sales activity. Other promotional consideration received is event-based or represents general support and is recognized as a reduction of cost of goods sold or inventory, as appropriate based on the type of promotion and the agreement with the vendor. Some arrangements may meet the specific, incremental, identifiable criteria that allow for direct operating expense offset, but such arrangements are not significant.</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New Accounting Standards: </w:t>
      </w:r>
      <w:r>
        <w:rPr>
          <w:rFonts w:ascii="Arial" w:cs="Arial" w:eastAsia="Arial" w:hAnsi="Arial"/>
          <w:sz w:val="16"/>
          <w:szCs w:val="16"/>
          <w:color w:val="auto"/>
        </w:rPr>
        <w:t>Effective for the first quarter of 2012, a new accounting standard will require the presentation of net income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income either as a continuous statement or as two separate statements. The portion of the new standard which would require the presentation of reclassifications of other comprehensive income on the face of the income statement has been deferred. In past periods, we have presented the components of other comprehensive income as a separate statement for the full year and as a separate footnote for interim periods. We anticipate following the two statement format. The standard will not change the recognition or measurement of net income or other comprehensive income.</w:t>
      </w:r>
    </w:p>
    <w:p>
      <w:pPr>
        <w:spacing w:after="0" w:line="11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Also effective for the first quarter of 2012, a new accounting standard has been issued that is intended to achieve common fair value measurements and disclosure requirements between U.S. generally accepted accounting principles and International Financial Reporting Standards. This new standard amends current fair value guidance to include increased transparency around valuation inputs and investment categorization.</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Effective for 2012 testing for goodwill impairment, entities will have an option of performing a qualitative assessment before calculating the fair value of their reporting units. If, based on the qualitative assessment, an entity concludes it is more likely than not that the fair value of the reporting unit exceeds its carrying value, quantitative testing for impairment is not necessary. The company did not elect the early adoption that was available for 2011.</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effective for the first quarter of 2014, a new accounting standard will require disclosure of information about the effect or potential effect of financial instrument netting arrangements on the company’s financial position. Companies will be required to present both net (offset amounts) and gross information in the notes to the financial statements for relevant assets and liabilities that are offset.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Including the above, there are no recently issued accounting standards that are expected to have a material effect on our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ASSET IMPAIRMENTS, EXIT COSTS AND OTHER CHARGES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recent years, the company has taken actions to adapt to changing and increasingly competitive conditions experienced in the markets in which we serve. These actions include closing stores and distribution centers (“DCs”), consolidating functional activities, disposing of businesses and assets, and taking actions to improve process efficiencies. Significant charges and impairments have been recognized associated with these activities. The charges and impairments recognized in 2009 related to a strategic review and were managed at the corporate level (“Charges”) and not considered in determining Division operating profit. The charges and impairments recognized in 2011 and 2010 associated with facility closures, consolidating functions and process improvements were either included in the determination of Division operating profit or as corporate costs, depending on the underlying activity. Store-level impairments and store closure costs, unrelated to the actions discussed above, are included in determination of Division operating profit and are not included in the tables below.</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 of charges and impairments discussed above, including Charges in 2009, recognized throughout the company by year and the line item presentation in our accompanying Consolidated Statements of Operations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30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2010</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occupancy costs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2</w:t>
            </w:r>
          </w:p>
        </w:tc>
        <w:tc>
          <w:tcPr>
            <w:tcW w:w="10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Store and warehouse operating and selling expenses</w:t>
            </w:r>
          </w:p>
        </w:tc>
        <w:tc>
          <w:tcPr>
            <w:tcW w:w="2620" w:type="dxa"/>
            <w:vAlign w:val="bottom"/>
          </w:tcPr>
          <w:p>
            <w:pPr>
              <w:spacing w:after="0"/>
              <w:rPr>
                <w:sz w:val="18"/>
                <w:szCs w:val="18"/>
                <w:color w:val="auto"/>
              </w:rPr>
            </w:pPr>
          </w:p>
        </w:tc>
        <w:tc>
          <w:tcPr>
            <w:tcW w:w="420" w:type="dxa"/>
            <w:vAlign w:val="bottom"/>
          </w:tcPr>
          <w:p>
            <w:pPr>
              <w:jc w:val="right"/>
              <w:ind w:right="176"/>
              <w:spacing w:after="0"/>
              <w:rPr>
                <w:sz w:val="20"/>
                <w:szCs w:val="20"/>
                <w:color w:val="auto"/>
              </w:rPr>
            </w:pPr>
            <w:r>
              <w:rPr>
                <w:rFonts w:ascii="Arial" w:cs="Arial" w:eastAsia="Arial" w:hAnsi="Arial"/>
                <w:sz w:val="16"/>
                <w:szCs w:val="16"/>
                <w:b w:val="1"/>
                <w:bCs w:val="1"/>
                <w:color w:val="auto"/>
                <w:w w:val="78"/>
              </w:rPr>
              <w:t>25</w:t>
            </w:r>
          </w:p>
        </w:tc>
        <w:tc>
          <w:tcPr>
            <w:tcW w:w="1000" w:type="dxa"/>
            <w:vAlign w:val="bottom"/>
          </w:tcPr>
          <w:p>
            <w:pPr>
              <w:jc w:val="right"/>
              <w:ind w:right="376"/>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188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impairments</w:t>
            </w:r>
          </w:p>
        </w:tc>
        <w:tc>
          <w:tcPr>
            <w:tcW w:w="26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77"/>
              </w:rPr>
              <w:t>—</w:t>
            </w:r>
          </w:p>
        </w:tc>
        <w:tc>
          <w:tcPr>
            <w:tcW w:w="10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20" w:type="dxa"/>
            <w:vAlign w:val="bottom"/>
          </w:tcPr>
          <w:p>
            <w:pPr>
              <w:spacing w:after="0"/>
              <w:rPr>
                <w:sz w:val="18"/>
                <w:szCs w:val="18"/>
                <w:color w:val="auto"/>
              </w:rPr>
            </w:pPr>
          </w:p>
        </w:tc>
        <w:tc>
          <w:tcPr>
            <w:tcW w:w="420" w:type="dxa"/>
            <w:vAlign w:val="bottom"/>
          </w:tcPr>
          <w:p>
            <w:pPr>
              <w:jc w:val="right"/>
              <w:ind w:right="176"/>
              <w:spacing w:after="0"/>
              <w:rPr>
                <w:sz w:val="20"/>
                <w:szCs w:val="20"/>
                <w:color w:val="auto"/>
              </w:rPr>
            </w:pPr>
            <w:r>
              <w:rPr>
                <w:rFonts w:ascii="Arial" w:cs="Arial" w:eastAsia="Arial" w:hAnsi="Arial"/>
                <w:sz w:val="16"/>
                <w:szCs w:val="16"/>
                <w:b w:val="1"/>
                <w:bCs w:val="1"/>
                <w:color w:val="auto"/>
                <w:w w:val="78"/>
              </w:rPr>
              <w:t>31</w:t>
            </w:r>
          </w:p>
        </w:tc>
        <w:tc>
          <w:tcPr>
            <w:tcW w:w="1000" w:type="dxa"/>
            <w:vAlign w:val="bottom"/>
          </w:tcPr>
          <w:p>
            <w:pPr>
              <w:jc w:val="right"/>
              <w:ind w:right="376"/>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r>
      <w:tr>
        <w:trPr>
          <w:trHeight w:val="27"/>
        </w:trPr>
        <w:tc>
          <w:tcPr>
            <w:tcW w:w="620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6"/>
                <w:szCs w:val="16"/>
                <w:b w:val="1"/>
                <w:bCs w:val="1"/>
                <w:color w:val="auto"/>
                <w:w w:val="78"/>
              </w:rPr>
              <w:t>58</w:t>
            </w:r>
          </w:p>
        </w:tc>
        <w:tc>
          <w:tcPr>
            <w:tcW w:w="10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253</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2011 charges and impairments primarily relate to the consolidation and elimination of functions in Europe, the closure of stores in Canada and company-wide process improvement initiatives. The charges and impairments recognized in 2010 include $51 million for the abandonment of a certain software application, $23 million for losses on the disposal of operating entities in Israel and Japan and other costs, as well as $13 million of compensation-related costs following the departure of our former CEO. The $253 million of Charges recognized in 2009 followed a strategic review that led to closure of DCs in North America and Europe, closures of stores in North America and Japan, losses on sale-leaseback transactions that were initiated to enhance our liquidity position, as well as headcount reductions and other restructuring activities. As noted above, costs associated with that strategic review were captured and reviewed at the corporate level and were not included in Division results, consistent with the internal reporting used to manage the business and allocate resources. In addition to severance costs which usually require cash payment within 60 days of the initial accounting expense recognition, a significant amount of the Charges in 2009 related to closed store accruals, and to a lesser extent the 2011 store closures, will continue to require cash payments over the related lease contract period or until the lease is terminated. Charges and credits associated with adjusting these accrued lease liabilities can impact future period results. Also, the ongoing accretion of the discounted accrued liability is reflected in operating expenses at the corporate level, but is not included in the charges and impairments discussed above. The accretion charges for 2011 and 2010 totaled approximately $12 million and $14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indicates the amount of charges and impairments included in the determination of Division operating profit and at the corporate level: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w:t>
            </w:r>
          </w:p>
        </w:tc>
        <w:tc>
          <w:tcPr>
            <w:tcW w:w="5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Retail Division</w:t>
            </w:r>
          </w:p>
        </w:tc>
        <w:tc>
          <w:tcPr>
            <w:tcW w:w="570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$12</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North America Business Solutions Division</w:t>
            </w:r>
          </w:p>
        </w:tc>
        <w:tc>
          <w:tcPr>
            <w:tcW w:w="5700" w:type="dxa"/>
            <w:vAlign w:val="bottom"/>
          </w:tcPr>
          <w:p>
            <w:pPr>
              <w:jc w:val="right"/>
              <w:ind w:right="135"/>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Division</w:t>
            </w:r>
          </w:p>
        </w:tc>
        <w:tc>
          <w:tcPr>
            <w:tcW w:w="570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31</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level</w:t>
            </w:r>
          </w:p>
        </w:tc>
        <w:tc>
          <w:tcPr>
            <w:tcW w:w="5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15</w:t>
            </w: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253</w:t>
            </w:r>
          </w:p>
        </w:tc>
        <w:tc>
          <w:tcPr>
            <w:tcW w:w="100" w:type="dxa"/>
            <w:vAlign w:val="bottom"/>
          </w:tcPr>
          <w:p>
            <w:pPr>
              <w:spacing w:after="0"/>
              <w:rPr>
                <w:sz w:val="19"/>
                <w:szCs w:val="19"/>
                <w:color w:val="auto"/>
              </w:rPr>
            </w:pPr>
          </w:p>
        </w:tc>
      </w:tr>
      <w:tr>
        <w:trPr>
          <w:trHeight w:val="216"/>
        </w:trPr>
        <w:tc>
          <w:tcPr>
            <w:tcW w:w="4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7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$58</w:t>
            </w:r>
          </w:p>
        </w:tc>
        <w:tc>
          <w:tcPr>
            <w:tcW w:w="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253</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5700" w:type="dxa"/>
            <w:vAlign w:val="bottom"/>
          </w:tcPr>
          <w:p>
            <w:pPr>
              <w:jc w:val="right"/>
              <w:ind w:right="4115"/>
              <w:spacing w:after="0"/>
              <w:rPr>
                <w:sz w:val="20"/>
                <w:szCs w:val="20"/>
                <w:color w:val="auto"/>
              </w:rPr>
            </w:pPr>
            <w:r>
              <w:rPr>
                <w:rFonts w:ascii="Arial" w:cs="Arial" w:eastAsia="Arial" w:hAnsi="Arial"/>
                <w:sz w:val="18"/>
                <w:szCs w:val="18"/>
                <w:color w:val="auto"/>
              </w:rPr>
              <w:t>125</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beginning and ending liability balances associated with exit and restructuring-related costs that are addressed above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6"/>
              </w:rPr>
              <w:t>Non-cash</w:t>
            </w:r>
          </w:p>
        </w:tc>
        <w:tc>
          <w:tcPr>
            <w:tcW w:w="36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4"/>
                <w:szCs w:val="14"/>
                <w:color w:val="auto"/>
                <w:w w:val="84"/>
              </w:rPr>
              <w:t>Currency</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260"/>
              <w:spacing w:after="0" w:line="135" w:lineRule="exact"/>
              <w:rPr>
                <w:sz w:val="20"/>
                <w:szCs w:val="20"/>
                <w:color w:val="auto"/>
              </w:rPr>
            </w:pPr>
            <w:r>
              <w:rPr>
                <w:rFonts w:ascii="Arial" w:cs="Arial" w:eastAsia="Arial" w:hAnsi="Arial"/>
                <w:sz w:val="14"/>
                <w:szCs w:val="14"/>
                <w:color w:val="auto"/>
              </w:rPr>
              <w:t>Settlements</w:t>
            </w:r>
          </w:p>
        </w:tc>
        <w:tc>
          <w:tcPr>
            <w:tcW w:w="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Beginning</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Charges</w:t>
            </w:r>
          </w:p>
        </w:tc>
        <w:tc>
          <w:tcPr>
            <w:tcW w:w="400" w:type="dxa"/>
            <w:vAlign w:val="bottom"/>
          </w:tcPr>
          <w:p>
            <w:pPr>
              <w:spacing w:after="0"/>
              <w:rPr>
                <w:sz w:val="12"/>
                <w:szCs w:val="12"/>
                <w:color w:val="auto"/>
              </w:rPr>
            </w:pPr>
          </w:p>
        </w:tc>
        <w:tc>
          <w:tcPr>
            <w:tcW w:w="720" w:type="dxa"/>
            <w:vAlign w:val="bottom"/>
          </w:tcPr>
          <w:p>
            <w:pPr>
              <w:jc w:val="right"/>
              <w:ind w:right="354"/>
              <w:spacing w:after="0" w:line="149" w:lineRule="exact"/>
              <w:rPr>
                <w:sz w:val="20"/>
                <w:szCs w:val="20"/>
                <w:color w:val="auto"/>
              </w:rPr>
            </w:pPr>
            <w:r>
              <w:rPr>
                <w:rFonts w:ascii="Arial" w:cs="Arial" w:eastAsia="Arial" w:hAnsi="Arial"/>
                <w:sz w:val="14"/>
                <w:szCs w:val="14"/>
                <w:color w:val="auto"/>
                <w:w w:val="79"/>
              </w:rPr>
              <w:t>Cash</w:t>
            </w:r>
          </w:p>
        </w:tc>
        <w:tc>
          <w:tcPr>
            <w:tcW w:w="420" w:type="dxa"/>
            <w:vAlign w:val="bottom"/>
          </w:tcPr>
          <w:p>
            <w:pPr>
              <w:spacing w:after="0"/>
              <w:rPr>
                <w:sz w:val="12"/>
                <w:szCs w:val="12"/>
                <w:color w:val="auto"/>
              </w:rPr>
            </w:pPr>
          </w:p>
        </w:tc>
        <w:tc>
          <w:tcPr>
            <w:tcW w:w="78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85"/>
              </w:rPr>
              <w:t>and</w:t>
            </w:r>
          </w:p>
        </w:tc>
        <w:tc>
          <w:tcPr>
            <w:tcW w:w="1260" w:type="dxa"/>
            <w:vAlign w:val="bottom"/>
            <w:gridSpan w:val="2"/>
          </w:tcPr>
          <w:p>
            <w:pPr>
              <w:jc w:val="right"/>
              <w:ind w:right="294"/>
              <w:spacing w:after="0" w:line="149" w:lineRule="exact"/>
              <w:rPr>
                <w:sz w:val="20"/>
                <w:szCs w:val="20"/>
                <w:color w:val="auto"/>
              </w:rPr>
            </w:pPr>
            <w:r>
              <w:rPr>
                <w:rFonts w:ascii="Arial" w:cs="Arial" w:eastAsia="Arial" w:hAnsi="Arial"/>
                <w:sz w:val="14"/>
                <w:szCs w:val="14"/>
                <w:color w:val="auto"/>
              </w:rPr>
              <w:t>and Other</w:t>
            </w:r>
          </w:p>
        </w:tc>
        <w:tc>
          <w:tcPr>
            <w:tcW w:w="8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Ending</w:t>
            </w:r>
          </w:p>
        </w:tc>
        <w:tc>
          <w:tcPr>
            <w:tcW w:w="0" w:type="dxa"/>
            <w:vAlign w:val="bottom"/>
          </w:tcPr>
          <w:p>
            <w:pPr>
              <w:spacing w:after="0"/>
              <w:rPr>
                <w:sz w:val="1"/>
                <w:szCs w:val="1"/>
                <w:color w:val="auto"/>
              </w:rPr>
            </w:pPr>
          </w:p>
        </w:tc>
      </w:tr>
      <w:tr>
        <w:trPr>
          <w:trHeight w:val="173"/>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760" w:type="dxa"/>
            <w:vAlign w:val="bottom"/>
            <w:gridSpan w:val="2"/>
          </w:tcPr>
          <w:p>
            <w:pPr>
              <w:jc w:val="right"/>
              <w:ind w:right="272"/>
              <w:spacing w:after="0"/>
              <w:rPr>
                <w:sz w:val="20"/>
                <w:szCs w:val="20"/>
                <w:color w:val="auto"/>
              </w:rPr>
            </w:pPr>
            <w:r>
              <w:rPr>
                <w:rFonts w:ascii="Arial" w:cs="Arial" w:eastAsia="Arial" w:hAnsi="Arial"/>
                <w:sz w:val="14"/>
                <w:szCs w:val="14"/>
                <w:color w:val="auto"/>
              </w:rPr>
              <w:t>Balance</w:t>
            </w:r>
          </w:p>
        </w:tc>
        <w:tc>
          <w:tcPr>
            <w:tcW w:w="1020" w:type="dxa"/>
            <w:vAlign w:val="bottom"/>
            <w:gridSpan w:val="2"/>
          </w:tcPr>
          <w:p>
            <w:pPr>
              <w:ind w:left="280"/>
              <w:spacing w:after="0"/>
              <w:rPr>
                <w:sz w:val="20"/>
                <w:szCs w:val="20"/>
                <w:color w:val="auto"/>
              </w:rPr>
            </w:pPr>
            <w:r>
              <w:rPr>
                <w:rFonts w:ascii="Arial" w:cs="Arial" w:eastAsia="Arial" w:hAnsi="Arial"/>
                <w:sz w:val="14"/>
                <w:szCs w:val="14"/>
                <w:color w:val="auto"/>
              </w:rPr>
              <w:t>Incurred</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Payments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9"/>
              </w:rPr>
              <w:t>Accretion</w:t>
            </w: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Adjustments</w:t>
            </w:r>
          </w:p>
        </w:tc>
        <w:tc>
          <w:tcPr>
            <w:tcW w:w="800" w:type="dxa"/>
            <w:vAlign w:val="bottom"/>
            <w:gridSpan w:val="3"/>
          </w:tcPr>
          <w:p>
            <w:pPr>
              <w:ind w:left="260"/>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Termination benefits</w:t>
            </w:r>
          </w:p>
        </w:tc>
        <w:tc>
          <w:tcPr>
            <w:tcW w:w="1100" w:type="dxa"/>
            <w:vAlign w:val="bottom"/>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contract obligations and, other costs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(59)</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tcPr>
          <w:p>
            <w:pPr>
              <w:spacing w:after="0"/>
              <w:rPr>
                <w:sz w:val="20"/>
                <w:szCs w:val="20"/>
                <w:color w:val="auto"/>
              </w:rPr>
            </w:pPr>
            <w:r>
              <w:rPr>
                <w:rFonts w:ascii="Arial" w:cs="Arial" w:eastAsia="Arial" w:hAnsi="Arial"/>
                <w:sz w:val="18"/>
                <w:szCs w:val="18"/>
                <w:color w:val="auto"/>
              </w:rPr>
              <w:t>2010</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1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Asset impairments and accelerated depreciation</w:t>
            </w:r>
          </w:p>
        </w:tc>
        <w:tc>
          <w:tcPr>
            <w:tcW w:w="110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 and contract obligations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162</w:t>
            </w:r>
          </w:p>
        </w:tc>
        <w:tc>
          <w:tcPr>
            <w:tcW w:w="4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175</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Lease accruals on closed facilities reflect the company’s best estimate of its obligations under these long-term arrangements, net of sublease assumptions, discounted at the company’s estimated unsecured borrowing rate at the time of each location closure. This accrued liability may be adjusted in future periods as actual sublease activity is better or worse than estimated. Any such adjustments, as well as accretion of this liability will be reflected as a component of store and warehouse operating and selling expenses or general and administrative expenses, depending on the nature of the underlying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PROPERTY AND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74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960" w:type="dxa"/>
            <w:vAlign w:val="bottom"/>
          </w:tcPr>
          <w:p>
            <w:pPr>
              <w:jc w:val="right"/>
              <w:ind w:right="120"/>
              <w:spacing w:after="0"/>
              <w:rPr>
                <w:sz w:val="20"/>
                <w:szCs w:val="20"/>
                <w:color w:val="auto"/>
              </w:rPr>
            </w:pPr>
            <w:r>
              <w:rPr>
                <w:rFonts w:ascii="Arial" w:cs="Arial" w:eastAsia="Arial" w:hAnsi="Arial"/>
                <w:sz w:val="14"/>
                <w:szCs w:val="14"/>
                <w:color w:val="auto"/>
                <w:w w:val="84"/>
              </w:rPr>
              <w:t>December 25,</w:t>
            </w:r>
          </w:p>
        </w:tc>
      </w:tr>
      <w:tr>
        <w:trPr>
          <w:trHeight w:val="161"/>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72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34,258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36,447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Buildings</w:t>
            </w:r>
          </w:p>
        </w:tc>
        <w:tc>
          <w:tcPr>
            <w:tcW w:w="3720" w:type="dxa"/>
            <w:vAlign w:val="bottom"/>
          </w:tcPr>
          <w:p>
            <w:pPr>
              <w:spacing w:after="0"/>
              <w:rPr>
                <w:sz w:val="18"/>
                <w:szCs w:val="18"/>
                <w:color w:val="auto"/>
              </w:rPr>
            </w:pPr>
          </w:p>
        </w:tc>
        <w:tc>
          <w:tcPr>
            <w:tcW w:w="1020" w:type="dxa"/>
            <w:vAlign w:val="bottom"/>
          </w:tcPr>
          <w:p>
            <w:pPr>
              <w:jc w:val="right"/>
              <w:ind w:right="237"/>
              <w:spacing w:after="0"/>
              <w:rPr>
                <w:sz w:val="20"/>
                <w:szCs w:val="20"/>
                <w:color w:val="auto"/>
              </w:rPr>
            </w:pPr>
            <w:r>
              <w:rPr>
                <w:rFonts w:ascii="Arial" w:cs="Arial" w:eastAsia="Arial" w:hAnsi="Arial"/>
                <w:sz w:val="18"/>
                <w:szCs w:val="18"/>
                <w:b w:val="1"/>
                <w:bCs w:val="1"/>
                <w:color w:val="auto"/>
              </w:rPr>
              <w:t>335,862</w:t>
            </w:r>
          </w:p>
        </w:tc>
        <w:tc>
          <w:tcPr>
            <w:tcW w:w="4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340,748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998,736</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994,320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gridSpan w:val="2"/>
          </w:tcPr>
          <w:p>
            <w:pPr>
              <w:jc w:val="right"/>
              <w:ind w:right="316"/>
              <w:spacing w:after="0"/>
              <w:rPr>
                <w:sz w:val="20"/>
                <w:szCs w:val="20"/>
                <w:color w:val="auto"/>
              </w:rPr>
            </w:pPr>
            <w:r>
              <w:rPr>
                <w:rFonts w:ascii="Arial" w:cs="Arial" w:eastAsia="Arial" w:hAnsi="Arial"/>
                <w:sz w:val="18"/>
                <w:szCs w:val="18"/>
                <w:b w:val="1"/>
                <w:bCs w:val="1"/>
                <w:color w:val="auto"/>
              </w:rPr>
              <w:t>1,547,659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1,645,750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8"/>
                <w:szCs w:val="18"/>
                <w:b w:val="1"/>
                <w:bCs w:val="1"/>
                <w:color w:val="auto"/>
              </w:rPr>
              <w:t>2,916,515</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3,017,265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gridSpan w:val="2"/>
          </w:tcPr>
          <w:p>
            <w:pPr>
              <w:jc w:val="right"/>
              <w:ind w:right="276"/>
              <w:spacing w:after="0"/>
              <w:rPr>
                <w:sz w:val="20"/>
                <w:szCs w:val="20"/>
                <w:color w:val="auto"/>
              </w:rPr>
            </w:pPr>
            <w:r>
              <w:rPr>
                <w:rFonts w:ascii="Arial" w:cs="Arial" w:eastAsia="Arial" w:hAnsi="Arial"/>
                <w:sz w:val="18"/>
                <w:szCs w:val="18"/>
                <w:b w:val="1"/>
                <w:bCs w:val="1"/>
                <w:color w:val="auto"/>
              </w:rPr>
              <w:t>(1,849,475)</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(1,860,252)</w:t>
            </w:r>
          </w:p>
        </w:tc>
      </w:tr>
      <w:tr>
        <w:trPr>
          <w:trHeight w:val="216"/>
        </w:trPr>
        <w:tc>
          <w:tcPr>
            <w:tcW w:w="20" w:type="dxa"/>
            <w:vAlign w:val="bottom"/>
          </w:tcPr>
          <w:p>
            <w:pPr>
              <w:spacing w:after="0"/>
              <w:rPr>
                <w:sz w:val="18"/>
                <w:szCs w:val="18"/>
                <w:color w:val="auto"/>
              </w:rPr>
            </w:pPr>
          </w:p>
        </w:tc>
        <w:tc>
          <w:tcPr>
            <w:tcW w:w="7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auto"/>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8"/>
                <w:szCs w:val="18"/>
                <w:b w:val="1"/>
                <w:bCs w:val="1"/>
                <w:color w:val="auto"/>
              </w:rPr>
              <w:t>$  1,067,040</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1,157,013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7740" w:type="dxa"/>
            <w:vAlign w:val="bottom"/>
            <w:gridSpan w:val="2"/>
          </w:tcPr>
          <w:p>
            <w:pPr>
              <w:spacing w:after="0"/>
              <w:rPr>
                <w:sz w:val="20"/>
                <w:szCs w:val="20"/>
                <w:color w:val="auto"/>
              </w:rPr>
            </w:pPr>
            <w:r>
              <w:rPr>
                <w:rFonts w:ascii="Arial" w:cs="Arial" w:eastAsia="Arial" w:hAnsi="Arial"/>
                <w:sz w:val="18"/>
                <w:szCs w:val="18"/>
                <w:color w:val="auto"/>
              </w:rPr>
              <w:t>The above table of property and equipment includes assets held under capital leases as follows:</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360" w:type="dxa"/>
            <w:vAlign w:val="bottom"/>
            <w:gridSpan w:val="2"/>
          </w:tcPr>
          <w:p>
            <w:pPr>
              <w:ind w:left="122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ind w:left="440"/>
              <w:spacing w:after="0"/>
              <w:rPr>
                <w:sz w:val="20"/>
                <w:szCs w:val="20"/>
                <w:color w:val="auto"/>
              </w:rPr>
            </w:pPr>
            <w:r>
              <w:rPr>
                <w:rFonts w:ascii="Arial" w:cs="Arial" w:eastAsia="Arial" w:hAnsi="Arial"/>
                <w:sz w:val="14"/>
                <w:szCs w:val="14"/>
                <w:color w:val="auto"/>
                <w:w w:val="97"/>
              </w:rPr>
              <w:t>December 25,</w:t>
            </w:r>
          </w:p>
        </w:tc>
      </w:tr>
      <w:tr>
        <w:trPr>
          <w:trHeight w:val="161"/>
        </w:trPr>
        <w:tc>
          <w:tcPr>
            <w:tcW w:w="77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360" w:type="dxa"/>
            <w:vAlign w:val="bottom"/>
          </w:tcPr>
          <w:p>
            <w:pPr>
              <w:spacing w:after="0"/>
              <w:rPr>
                <w:sz w:val="14"/>
                <w:szCs w:val="14"/>
                <w:color w:val="auto"/>
              </w:rPr>
            </w:pPr>
          </w:p>
        </w:tc>
        <w:tc>
          <w:tcPr>
            <w:tcW w:w="1000" w:type="dxa"/>
            <w:vAlign w:val="bottom"/>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136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8"/>
              </w:rPr>
              <w:t>266,992</w:t>
            </w:r>
          </w:p>
        </w:tc>
        <w:tc>
          <w:tcPr>
            <w:tcW w:w="5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267,471</w:t>
            </w: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fixtures and equipment</w:t>
            </w:r>
          </w:p>
        </w:tc>
        <w:tc>
          <w:tcPr>
            <w:tcW w:w="1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53,924</w:t>
            </w: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49,969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8"/>
              </w:rPr>
              <w:t>320,916</w:t>
            </w:r>
          </w:p>
        </w:tc>
        <w:tc>
          <w:tcPr>
            <w:tcW w:w="5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317,440</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b w:val="1"/>
                <w:bCs w:val="1"/>
                <w:color w:val="auto"/>
                <w:w w:val="90"/>
              </w:rPr>
              <w:t>(112,250)</w:t>
            </w:r>
          </w:p>
        </w:tc>
        <w:tc>
          <w:tcPr>
            <w:tcW w:w="58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(92,695)</w:t>
            </w:r>
          </w:p>
        </w:tc>
      </w:tr>
      <w:tr>
        <w:trPr>
          <w:trHeight w:val="216"/>
        </w:trPr>
        <w:tc>
          <w:tcPr>
            <w:tcW w:w="20" w:type="dxa"/>
            <w:vAlign w:val="bottom"/>
          </w:tcPr>
          <w:p>
            <w:pPr>
              <w:spacing w:after="0"/>
              <w:rPr>
                <w:sz w:val="18"/>
                <w:szCs w:val="18"/>
                <w:color w:val="auto"/>
              </w:rPr>
            </w:pPr>
          </w:p>
        </w:tc>
        <w:tc>
          <w:tcPr>
            <w:tcW w:w="7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8"/>
              </w:rPr>
              <w:t>208,666</w:t>
            </w:r>
          </w:p>
        </w:tc>
        <w:tc>
          <w:tcPr>
            <w:tcW w:w="5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224,745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7740" w:type="dxa"/>
            <w:vAlign w:val="bottom"/>
            <w:gridSpan w:val="2"/>
          </w:tcPr>
          <w:p>
            <w:pPr>
              <w:jc w:val="right"/>
              <w:ind w:right="1812"/>
              <w:spacing w:after="0"/>
              <w:rPr>
                <w:sz w:val="20"/>
                <w:szCs w:val="20"/>
                <w:color w:val="auto"/>
              </w:rPr>
            </w:pPr>
            <w:r>
              <w:rPr>
                <w:rFonts w:ascii="Arial" w:cs="Arial" w:eastAsia="Arial" w:hAnsi="Arial"/>
                <w:sz w:val="18"/>
                <w:szCs w:val="18"/>
                <w:color w:val="auto"/>
              </w:rPr>
              <w:t>126</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goodwill by segment are provided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98"/>
              <w:spacing w:after="0"/>
              <w:rPr>
                <w:sz w:val="20"/>
                <w:szCs w:val="20"/>
                <w:color w:val="auto"/>
              </w:rPr>
            </w:pPr>
            <w:r>
              <w:rPr>
                <w:rFonts w:ascii="Arial" w:cs="Arial" w:eastAsia="Arial" w:hAnsi="Arial"/>
                <w:sz w:val="14"/>
                <w:szCs w:val="14"/>
                <w:b w:val="1"/>
                <w:bCs w:val="1"/>
                <w:color w:val="auto"/>
                <w:w w:val="96"/>
              </w:rPr>
              <w:t>North</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96"/>
              </w:rPr>
              <w:t>North</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American</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40" w:type="dxa"/>
            <w:vAlign w:val="bottom"/>
            <w:gridSpan w:val="2"/>
          </w:tcPr>
          <w:p>
            <w:pPr>
              <w:jc w:val="center"/>
              <w:ind w:left="1602"/>
              <w:spacing w:after="0" w:line="149" w:lineRule="exact"/>
              <w:rPr>
                <w:sz w:val="20"/>
                <w:szCs w:val="20"/>
                <w:color w:val="auto"/>
              </w:rPr>
            </w:pPr>
            <w:r>
              <w:rPr>
                <w:rFonts w:ascii="Arial" w:cs="Arial" w:eastAsia="Arial" w:hAnsi="Arial"/>
                <w:sz w:val="14"/>
                <w:szCs w:val="14"/>
                <w:b w:val="1"/>
                <w:bCs w:val="1"/>
                <w:color w:val="auto"/>
                <w:w w:val="87"/>
              </w:rPr>
              <w:t>American</w:t>
            </w:r>
          </w:p>
        </w:tc>
        <w:tc>
          <w:tcPr>
            <w:tcW w:w="320" w:type="dxa"/>
            <w:vAlign w:val="bottom"/>
          </w:tcPr>
          <w:p>
            <w:pPr>
              <w:spacing w:after="0"/>
              <w:rPr>
                <w:sz w:val="12"/>
                <w:szCs w:val="12"/>
                <w:color w:val="auto"/>
              </w:rPr>
            </w:pPr>
          </w:p>
        </w:tc>
        <w:tc>
          <w:tcPr>
            <w:tcW w:w="94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77"/>
              </w:rPr>
              <w:t>Business</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94"/>
              </w:rPr>
              <w:t>Retail</w:t>
            </w:r>
          </w:p>
        </w:tc>
        <w:tc>
          <w:tcPr>
            <w:tcW w:w="320" w:type="dxa"/>
            <w:vAlign w:val="bottom"/>
          </w:tcPr>
          <w:p>
            <w:pPr>
              <w:spacing w:after="0"/>
              <w:rPr>
                <w:sz w:val="12"/>
                <w:szCs w:val="12"/>
                <w:color w:val="auto"/>
              </w:rPr>
            </w:pPr>
          </w:p>
        </w:tc>
        <w:tc>
          <w:tcPr>
            <w:tcW w:w="94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81"/>
              </w:rPr>
              <w:t>Solutions</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40" w:type="dxa"/>
            <w:vAlign w:val="bottom"/>
            <w:gridSpan w:val="2"/>
          </w:tcPr>
          <w:p>
            <w:pPr>
              <w:jc w:val="center"/>
              <w:ind w:left="1602"/>
              <w:spacing w:after="0"/>
              <w:rPr>
                <w:sz w:val="20"/>
                <w:szCs w:val="20"/>
                <w:color w:val="auto"/>
              </w:rPr>
            </w:pPr>
            <w:r>
              <w:rPr>
                <w:rFonts w:ascii="Arial" w:cs="Arial" w:eastAsia="Arial" w:hAnsi="Arial"/>
                <w:sz w:val="14"/>
                <w:szCs w:val="14"/>
                <w:b w:val="1"/>
                <w:bCs w:val="1"/>
                <w:color w:val="auto"/>
                <w:w w:val="88"/>
              </w:rPr>
              <w:t>Division</w:t>
            </w:r>
          </w:p>
        </w:tc>
        <w:tc>
          <w:tcPr>
            <w:tcW w:w="320" w:type="dxa"/>
            <w:vAlign w:val="bottom"/>
          </w:tcPr>
          <w:p>
            <w:pPr>
              <w:spacing w:after="0"/>
              <w:rPr>
                <w:sz w:val="15"/>
                <w:szCs w:val="15"/>
                <w:color w:val="auto"/>
              </w:rPr>
            </w:pPr>
          </w:p>
        </w:tc>
        <w:tc>
          <w:tcPr>
            <w:tcW w:w="940" w:type="dxa"/>
            <w:vAlign w:val="bottom"/>
          </w:tcPr>
          <w:p>
            <w:pPr>
              <w:jc w:val="center"/>
              <w:ind w:right="298"/>
              <w:spacing w:after="0"/>
              <w:rPr>
                <w:sz w:val="20"/>
                <w:szCs w:val="20"/>
                <w:color w:val="auto"/>
              </w:rPr>
            </w:pPr>
            <w:r>
              <w:rPr>
                <w:rFonts w:ascii="Arial" w:cs="Arial" w:eastAsia="Arial" w:hAnsi="Arial"/>
                <w:sz w:val="14"/>
                <w:szCs w:val="14"/>
                <w:b w:val="1"/>
                <w:bCs w:val="1"/>
                <w:color w:val="auto"/>
                <w:w w:val="88"/>
              </w:rPr>
              <w:t>Division</w:t>
            </w:r>
          </w:p>
        </w:tc>
        <w:tc>
          <w:tcPr>
            <w:tcW w:w="340" w:type="dxa"/>
            <w:vAlign w:val="bottom"/>
          </w:tcPr>
          <w:p>
            <w:pPr>
              <w:spacing w:after="0"/>
              <w:rPr>
                <w:sz w:val="15"/>
                <w:szCs w:val="15"/>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w w:val="91"/>
              </w:rPr>
              <w:t>Division</w:t>
            </w:r>
          </w:p>
        </w:tc>
        <w:tc>
          <w:tcPr>
            <w:tcW w:w="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26, 2009</w:t>
            </w:r>
          </w:p>
        </w:tc>
        <w:tc>
          <w:tcPr>
            <w:tcW w:w="20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5"/>
              <w:spacing w:after="0"/>
              <w:rPr>
                <w:sz w:val="20"/>
                <w:szCs w:val="20"/>
                <w:color w:val="auto"/>
              </w:rPr>
            </w:pPr>
            <w:r>
              <w:rPr>
                <w:rFonts w:ascii="Arial" w:cs="Arial" w:eastAsia="Arial" w:hAnsi="Arial"/>
                <w:sz w:val="18"/>
                <w:szCs w:val="18"/>
                <w:color w:val="auto"/>
                <w:w w:val="97"/>
              </w:rPr>
              <w:t>1,842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8"/>
              <w:spacing w:after="0"/>
              <w:rPr>
                <w:sz w:val="20"/>
                <w:szCs w:val="20"/>
                <w:color w:val="auto"/>
              </w:rPr>
            </w:pPr>
            <w:r>
              <w:rPr>
                <w:rFonts w:ascii="Arial" w:cs="Arial" w:eastAsia="Arial" w:hAnsi="Arial"/>
                <w:sz w:val="18"/>
                <w:szCs w:val="18"/>
                <w:color w:val="auto"/>
                <w:w w:val="95"/>
              </w:rPr>
              <w:t>367,790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14"/>
              <w:spacing w:after="0"/>
              <w:rPr>
                <w:sz w:val="20"/>
                <w:szCs w:val="20"/>
                <w:color w:val="auto"/>
              </w:rPr>
            </w:pPr>
            <w:r>
              <w:rPr>
                <w:rFonts w:ascii="Arial" w:cs="Arial" w:eastAsia="Arial" w:hAnsi="Arial"/>
                <w:sz w:val="18"/>
                <w:szCs w:val="18"/>
                <w:color w:val="auto"/>
                <w:w w:val="98"/>
              </w:rPr>
              <w:t>863,134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1,232,766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impairment losses</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(1,842)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88"/>
              </w:rPr>
              <w:t>(348,359)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0"/>
              </w:rPr>
              <w:t>(863,134)</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(1,213,335)</w:t>
            </w:r>
          </w:p>
        </w:tc>
      </w:tr>
      <w:tr>
        <w:trPr>
          <w:trHeight w:val="222"/>
        </w:trPr>
        <w:tc>
          <w:tcPr>
            <w:tcW w:w="20" w:type="dxa"/>
            <w:vAlign w:val="bottom"/>
          </w:tcPr>
          <w:p>
            <w:pPr>
              <w:spacing w:after="0"/>
              <w:rPr>
                <w:sz w:val="19"/>
                <w:szCs w:val="19"/>
                <w:color w:val="auto"/>
              </w:rPr>
            </w:pPr>
          </w:p>
        </w:tc>
        <w:tc>
          <w:tcPr>
            <w:tcW w:w="48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color w:val="auto"/>
              </w:rPr>
              <w:t>19,431</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2010 Changes</w:t>
            </w:r>
          </w:p>
        </w:tc>
        <w:tc>
          <w:tcPr>
            <w:tcW w:w="20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Balance as of December 25, 2010</w:t>
            </w:r>
          </w:p>
        </w:tc>
        <w:tc>
          <w:tcPr>
            <w:tcW w:w="2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7"/>
              </w:rPr>
              <w:t>1,842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95"/>
              </w:rPr>
              <w:t>367,790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8"/>
              </w:rPr>
              <w:t>863,134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1,232,766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Accumulated impairment losses</w:t>
            </w:r>
          </w:p>
        </w:tc>
        <w:tc>
          <w:tcPr>
            <w:tcW w:w="2080" w:type="dxa"/>
            <w:vAlign w:val="bottom"/>
          </w:tcPr>
          <w:p>
            <w:pPr>
              <w:spacing w:after="0"/>
              <w:rPr>
                <w:sz w:val="19"/>
                <w:szCs w:val="19"/>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w w:val="87"/>
              </w:rPr>
              <w:t>(1,842)</w:t>
            </w:r>
          </w:p>
        </w:tc>
        <w:tc>
          <w:tcPr>
            <w:tcW w:w="320" w:type="dxa"/>
            <w:vAlign w:val="bottom"/>
          </w:tcPr>
          <w:p>
            <w:pPr>
              <w:spacing w:after="0"/>
              <w:rPr>
                <w:sz w:val="19"/>
                <w:szCs w:val="19"/>
                <w:color w:val="auto"/>
              </w:rPr>
            </w:pPr>
          </w:p>
        </w:tc>
        <w:tc>
          <w:tcPr>
            <w:tcW w:w="940" w:type="dxa"/>
            <w:vAlign w:val="bottom"/>
          </w:tcPr>
          <w:p>
            <w:pPr>
              <w:jc w:val="right"/>
              <w:ind w:right="158"/>
              <w:spacing w:after="0"/>
              <w:rPr>
                <w:sz w:val="20"/>
                <w:szCs w:val="20"/>
                <w:color w:val="auto"/>
              </w:rPr>
            </w:pPr>
            <w:r>
              <w:rPr>
                <w:rFonts w:ascii="Arial" w:cs="Arial" w:eastAsia="Arial" w:hAnsi="Arial"/>
                <w:sz w:val="18"/>
                <w:szCs w:val="18"/>
                <w:color w:val="auto"/>
                <w:w w:val="88"/>
              </w:rPr>
              <w:t>(348,359)</w:t>
            </w:r>
          </w:p>
        </w:tc>
        <w:tc>
          <w:tcPr>
            <w:tcW w:w="34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w w:val="90"/>
              </w:rPr>
              <w:t>(863,134)</w:t>
            </w:r>
          </w:p>
        </w:tc>
        <w:tc>
          <w:tcPr>
            <w:tcW w:w="3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(1,213,335)</w:t>
            </w:r>
          </w:p>
        </w:tc>
      </w:tr>
      <w:tr>
        <w:trPr>
          <w:trHeight w:val="216"/>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rPr>
              <w:t>19,431</w:t>
            </w: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2011 Changes</w:t>
            </w:r>
          </w:p>
        </w:tc>
        <w:tc>
          <w:tcPr>
            <w:tcW w:w="2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8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color w:val="auto"/>
                <w:w w:val="97"/>
              </w:rPr>
              <w:t>1,842</w:t>
            </w:r>
          </w:p>
        </w:tc>
        <w:tc>
          <w:tcPr>
            <w:tcW w:w="32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Arial" w:cs="Arial" w:eastAsia="Arial" w:hAnsi="Arial"/>
                <w:sz w:val="18"/>
                <w:szCs w:val="18"/>
                <w:color w:val="auto"/>
                <w:w w:val="95"/>
              </w:rPr>
              <w:t>367,790</w:t>
            </w:r>
          </w:p>
        </w:tc>
        <w:tc>
          <w:tcPr>
            <w:tcW w:w="34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Arial" w:cs="Arial" w:eastAsia="Arial" w:hAnsi="Arial"/>
                <w:sz w:val="18"/>
                <w:szCs w:val="18"/>
                <w:color w:val="auto"/>
                <w:w w:val="98"/>
              </w:rPr>
              <w:t>863,134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1,232,766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(1,842)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88"/>
              </w:rPr>
              <w:t>(348,359)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0"/>
              </w:rPr>
              <w:t>(863,134)</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(1,213,335)</w:t>
            </w: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Goodwill acquired during the year</w:t>
            </w:r>
          </w:p>
        </w:tc>
        <w:tc>
          <w:tcPr>
            <w:tcW w:w="208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Arial" w:cs="Arial" w:eastAsia="Arial" w:hAnsi="Arial"/>
                <w:sz w:val="18"/>
                <w:szCs w:val="18"/>
                <w:color w:val="auto"/>
              </w:rPr>
              <w:t>45,805</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45,805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rate impact</w:t>
            </w:r>
          </w:p>
        </w:tc>
        <w:tc>
          <w:tcPr>
            <w:tcW w:w="2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(3,337)</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19,431</w:t>
            </w:r>
          </w:p>
        </w:tc>
        <w:tc>
          <w:tcPr>
            <w:tcW w:w="3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42,468</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Indefinite-lived intangible assets related to acquired trade names were $5.5 million and $5.6 million, at December 31, 2011 and December 25, 2010, respectively, and are included in other intangible assets in the Consolidated Balance Sheets. Indefinite-lived intangibles are not subject to amortization. Instead, they are tested for impairment at least annually. The change in the balance during 2011 resulted from changes in foreign currency rates.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Amortizing intangible assets, which are included in other intangible assets in the Consolidated Balance Sheets, include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84"/>
              </w:rPr>
              <w:t>December 31, 2011</w:t>
            </w:r>
          </w:p>
        </w:tc>
        <w:tc>
          <w:tcPr>
            <w:tcW w:w="6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86"/>
              </w:rPr>
              <w:t>December 25, 2010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80"/>
              <w:spacing w:after="0" w:line="129"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780" w:type="dxa"/>
            <w:vAlign w:val="bottom"/>
          </w:tcPr>
          <w:p>
            <w:pPr>
              <w:spacing w:after="0"/>
              <w:rPr>
                <w:sz w:val="11"/>
                <w:szCs w:val="11"/>
                <w:color w:val="auto"/>
              </w:rPr>
            </w:pPr>
          </w:p>
        </w:tc>
        <w:tc>
          <w:tcPr>
            <w:tcW w:w="114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Gross</w:t>
            </w:r>
          </w:p>
        </w:tc>
        <w:tc>
          <w:tcPr>
            <w:tcW w:w="114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1"/>
                <w:szCs w:val="11"/>
                <w:color w:val="auto"/>
              </w:rPr>
            </w:pPr>
          </w:p>
        </w:tc>
      </w:tr>
      <w:tr>
        <w:trPr>
          <w:trHeight w:val="175"/>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Carrying Value</w:t>
            </w: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gridSpan w:val="2"/>
          </w:tcPr>
          <w:p>
            <w:pPr>
              <w:jc w:val="right"/>
              <w:ind w:right="217"/>
              <w:spacing w:after="0"/>
              <w:rPr>
                <w:sz w:val="20"/>
                <w:szCs w:val="20"/>
                <w:color w:val="auto"/>
              </w:rPr>
            </w:pPr>
            <w:r>
              <w:rPr>
                <w:rFonts w:ascii="Arial" w:cs="Arial" w:eastAsia="Arial" w:hAnsi="Arial"/>
                <w:sz w:val="14"/>
                <w:szCs w:val="14"/>
                <w:color w:val="auto"/>
                <w:w w:val="88"/>
              </w:rPr>
              <w:t>Carrying Value</w:t>
            </w:r>
          </w:p>
        </w:tc>
        <w:tc>
          <w:tcPr>
            <w:tcW w:w="1240" w:type="dxa"/>
            <w:vAlign w:val="bottom"/>
            <w:gridSpan w:val="3"/>
          </w:tcPr>
          <w:p>
            <w:pPr>
              <w:ind w:left="280"/>
              <w:spacing w:after="0"/>
              <w:rPr>
                <w:sz w:val="20"/>
                <w:szCs w:val="20"/>
                <w:color w:val="auto"/>
              </w:rPr>
            </w:pPr>
            <w:r>
              <w:rPr>
                <w:rFonts w:ascii="Arial" w:cs="Arial" w:eastAsia="Arial" w:hAnsi="Arial"/>
                <w:sz w:val="14"/>
                <w:szCs w:val="14"/>
                <w:color w:val="auto"/>
              </w:rPr>
              <w:t>Amortization</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43,972</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89"/>
              </w:rPr>
              <w:t>(16,174)</w:t>
            </w:r>
          </w:p>
        </w:tc>
        <w:tc>
          <w:tcPr>
            <w:tcW w:w="38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3"/>
              </w:rPr>
              <w:t>28,000</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(11,773)</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b w:val="1"/>
                <w:bCs w:val="1"/>
                <w:color w:val="auto"/>
              </w:rPr>
              <w:t>5,868</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(3,987)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2,600</w:t>
            </w: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49,840</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89"/>
              </w:rPr>
              <w:t>(20,161)</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3"/>
              </w:rPr>
              <w:t>30,600</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(14,373)</w:t>
            </w: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our amortizing intangible assets at least annually to determine whether events and circumstances warrant a revision to the remaining period of amortization.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was $5.2 million in 2011, $2.9 million in 2010, and $3.1 million in 2009 (at average foreign currency exchange rates).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weighted average amortization period for the remaining finite-lived intangible assets is 5.7 years. Estimated future amortization expense for the next five years at December 31, 2011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ind w:left="1380"/>
              <w:spacing w:after="0"/>
              <w:rPr>
                <w:sz w:val="20"/>
                <w:szCs w:val="20"/>
                <w:color w:val="auto"/>
              </w:rPr>
            </w:pPr>
            <w:r>
              <w:rPr>
                <w:rFonts w:ascii="Arial" w:cs="Arial" w:eastAsia="Arial" w:hAnsi="Arial"/>
                <w:sz w:val="14"/>
                <w:szCs w:val="14"/>
                <w:i w:val="1"/>
                <w:iCs w:val="1"/>
                <w:color w:val="auto"/>
              </w:rPr>
              <w:t>(Dollars in thousands)</w:t>
            </w: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300" w:type="dxa"/>
            <w:vAlign w:val="bottom"/>
            <w:tcBorders>
              <w:top w:val="single" w:sz="8" w:color="auto"/>
            </w:tcBorders>
            <w:gridSpan w:val="2"/>
            <w:shd w:val="clear" w:color="auto" w:fill="CCEEFF"/>
          </w:tcPr>
          <w:p>
            <w:pPr>
              <w:jc w:val="right"/>
              <w:ind w:right="434"/>
              <w:spacing w:after="0"/>
              <w:rPr>
                <w:sz w:val="20"/>
                <w:szCs w:val="20"/>
                <w:color w:val="auto"/>
              </w:rPr>
            </w:pPr>
            <w:r>
              <w:rPr>
                <w:rFonts w:ascii="Arial" w:cs="Arial" w:eastAsia="Arial" w:hAnsi="Arial"/>
                <w:sz w:val="18"/>
                <w:szCs w:val="18"/>
                <w:color w:val="auto"/>
              </w:rPr>
              <w:t>$5,477</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2013</w:t>
            </w:r>
          </w:p>
        </w:tc>
        <w:tc>
          <w:tcPr>
            <w:tcW w:w="2360" w:type="dxa"/>
            <w:vAlign w:val="bottom"/>
          </w:tcPr>
          <w:p>
            <w:pPr>
              <w:spacing w:after="0"/>
              <w:rPr>
                <w:sz w:val="18"/>
                <w:szCs w:val="18"/>
                <w:color w:val="auto"/>
              </w:rPr>
            </w:pPr>
          </w:p>
        </w:tc>
        <w:tc>
          <w:tcPr>
            <w:tcW w:w="940" w:type="dxa"/>
            <w:vAlign w:val="bottom"/>
          </w:tcPr>
          <w:p>
            <w:pPr>
              <w:jc w:val="right"/>
              <w:ind w:right="434"/>
              <w:spacing w:after="0"/>
              <w:rPr>
                <w:sz w:val="20"/>
                <w:szCs w:val="20"/>
                <w:color w:val="auto"/>
              </w:rPr>
            </w:pPr>
            <w:r>
              <w:rPr>
                <w:rFonts w:ascii="Arial" w:cs="Arial" w:eastAsia="Arial" w:hAnsi="Arial"/>
                <w:sz w:val="18"/>
                <w:szCs w:val="18"/>
                <w:color w:val="auto"/>
                <w:w w:val="88"/>
              </w:rPr>
              <w:t>5,332</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8"/>
              </w:rPr>
              <w:t>5,173</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2015</w:t>
            </w:r>
          </w:p>
        </w:tc>
        <w:tc>
          <w:tcPr>
            <w:tcW w:w="2360" w:type="dxa"/>
            <w:vAlign w:val="bottom"/>
          </w:tcPr>
          <w:p>
            <w:pPr>
              <w:spacing w:after="0"/>
              <w:rPr>
                <w:sz w:val="18"/>
                <w:szCs w:val="18"/>
                <w:color w:val="auto"/>
              </w:rPr>
            </w:pPr>
          </w:p>
        </w:tc>
        <w:tc>
          <w:tcPr>
            <w:tcW w:w="940" w:type="dxa"/>
            <w:vAlign w:val="bottom"/>
          </w:tcPr>
          <w:p>
            <w:pPr>
              <w:jc w:val="right"/>
              <w:ind w:right="434"/>
              <w:spacing w:after="0"/>
              <w:rPr>
                <w:sz w:val="20"/>
                <w:szCs w:val="20"/>
                <w:color w:val="auto"/>
              </w:rPr>
            </w:pPr>
            <w:r>
              <w:rPr>
                <w:rFonts w:ascii="Arial" w:cs="Arial" w:eastAsia="Arial" w:hAnsi="Arial"/>
                <w:sz w:val="18"/>
                <w:szCs w:val="18"/>
                <w:color w:val="auto"/>
                <w:w w:val="88"/>
              </w:rPr>
              <w:t>4,706</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8"/>
              </w:rPr>
              <w:t>4,618</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6"/>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NOTE E – DEBT</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760" w:type="dxa"/>
            <w:vAlign w:val="bottom"/>
            <w:gridSpan w:val="2"/>
          </w:tcPr>
          <w:p>
            <w:pPr>
              <w:spacing w:after="0"/>
              <w:rPr>
                <w:sz w:val="20"/>
                <w:szCs w:val="20"/>
                <w:color w:val="auto"/>
              </w:rPr>
            </w:pPr>
            <w:r>
              <w:rPr>
                <w:rFonts w:ascii="Arial" w:cs="Arial" w:eastAsia="Arial" w:hAnsi="Arial"/>
                <w:sz w:val="18"/>
                <w:szCs w:val="18"/>
                <w:color w:val="auto"/>
              </w:rPr>
              <w:t>Debt consists of the following:</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300" w:type="dxa"/>
            <w:vAlign w:val="bottom"/>
            <w:gridSpan w:val="2"/>
          </w:tcPr>
          <w:p>
            <w:pPr>
              <w:ind w:left="224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3"/>
          </w:tcPr>
          <w:p>
            <w:pPr>
              <w:ind w:left="500"/>
              <w:spacing w:after="0"/>
              <w:rPr>
                <w:sz w:val="20"/>
                <w:szCs w:val="20"/>
                <w:color w:val="auto"/>
              </w:rPr>
            </w:pPr>
            <w:r>
              <w:rPr>
                <w:rFonts w:ascii="Arial" w:cs="Arial" w:eastAsia="Arial" w:hAnsi="Arial"/>
                <w:sz w:val="14"/>
                <w:szCs w:val="14"/>
                <w:color w:val="auto"/>
                <w:w w:val="95"/>
              </w:rPr>
              <w:t>December 25,</w:t>
            </w:r>
          </w:p>
        </w:tc>
      </w:tr>
      <w:tr>
        <w:trPr>
          <w:trHeight w:val="161"/>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4"/>
                <w:szCs w:val="14"/>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Short-term borrowings</w:t>
            </w:r>
          </w:p>
        </w:tc>
        <w:tc>
          <w:tcPr>
            <w:tcW w:w="2360" w:type="dxa"/>
            <w:vAlign w:val="bottom"/>
          </w:tcPr>
          <w:p>
            <w:pPr>
              <w:ind w:left="2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94"/>
              <w:spacing w:after="0"/>
              <w:rPr>
                <w:sz w:val="20"/>
                <w:szCs w:val="20"/>
                <w:color w:val="auto"/>
              </w:rPr>
            </w:pPr>
            <w:r>
              <w:rPr>
                <w:rFonts w:ascii="Arial" w:cs="Arial" w:eastAsia="Arial" w:hAnsi="Arial"/>
                <w:sz w:val="18"/>
                <w:szCs w:val="18"/>
                <w:b w:val="1"/>
                <w:bCs w:val="1"/>
                <w:color w:val="auto"/>
              </w:rPr>
              <w:t>15,057</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53,729</w:t>
            </w: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18,626</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Current maturities of long-term debt</w:t>
            </w:r>
          </w:p>
        </w:tc>
        <w:tc>
          <w:tcPr>
            <w:tcW w:w="2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2,718</w:t>
            </w: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r>
      <w:tr>
        <w:trPr>
          <w:trHeight w:val="216"/>
        </w:trPr>
        <w:tc>
          <w:tcPr>
            <w:tcW w:w="1380" w:type="dxa"/>
            <w:vAlign w:val="bottom"/>
            <w:tcBorders>
              <w:bottom w:val="single" w:sz="8" w:color="auto"/>
            </w:tcBorders>
            <w:shd w:val="clear" w:color="auto" w:fill="CCEEFF"/>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36,401</w:t>
            </w:r>
          </w:p>
        </w:tc>
        <w:tc>
          <w:tcPr>
            <w:tcW w:w="6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72,368</w:t>
            </w:r>
          </w:p>
        </w:tc>
        <w:tc>
          <w:tcPr>
            <w:tcW w:w="100" w:type="dxa"/>
            <w:vAlign w:val="bottom"/>
            <w:shd w:val="clear" w:color="auto" w:fill="CCEEFF"/>
          </w:tcPr>
          <w:p>
            <w:pPr>
              <w:spacing w:after="0"/>
              <w:rPr>
                <w:sz w:val="18"/>
                <w:szCs w:val="18"/>
                <w:color w:val="auto"/>
              </w:rPr>
            </w:pPr>
          </w:p>
        </w:tc>
      </w:tr>
      <w:tr>
        <w:trPr>
          <w:trHeight w:val="20"/>
        </w:trPr>
        <w:tc>
          <w:tcPr>
            <w:tcW w:w="6760" w:type="dxa"/>
            <w:vAlign w:val="bottom"/>
            <w:tcBorders>
              <w:bottom w:val="single" w:sz="8" w:color="auto"/>
            </w:tcBorders>
            <w:gridSpan w:val="2"/>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60" w:type="dxa"/>
            <w:vAlign w:val="bottom"/>
            <w:gridSpan w:val="2"/>
          </w:tcPr>
          <w:p>
            <w:pPr>
              <w:spacing w:after="0"/>
              <w:rPr>
                <w:sz w:val="20"/>
                <w:szCs w:val="20"/>
                <w:color w:val="auto"/>
              </w:rPr>
            </w:pPr>
            <w:r>
              <w:rPr>
                <w:rFonts w:ascii="Arial" w:cs="Arial" w:eastAsia="Arial" w:hAnsi="Arial"/>
                <w:sz w:val="18"/>
                <w:szCs w:val="18"/>
                <w:color w:val="auto"/>
              </w:rPr>
              <w:t>Long-term debt, net of current maturities:</w:t>
            </w: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 million senior notes</w:t>
            </w:r>
          </w:p>
        </w:tc>
        <w:tc>
          <w:tcPr>
            <w:tcW w:w="236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98"/>
              </w:rPr>
              <w:t>399,953</w:t>
            </w:r>
          </w:p>
        </w:tc>
        <w:tc>
          <w:tcPr>
            <w:tcW w:w="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400,067</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Capital lease obligations</w:t>
            </w:r>
          </w:p>
        </w:tc>
        <w:tc>
          <w:tcPr>
            <w:tcW w:w="236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b w:val="1"/>
                <w:bCs w:val="1"/>
                <w:color w:val="auto"/>
                <w:w w:val="98"/>
              </w:rPr>
              <w:t>229,605</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239,476</w:t>
            </w: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18,755</w:t>
            </w: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shd w:val="clear" w:color="auto" w:fill="CCEEFF"/>
          </w:tcPr>
          <w:p>
            <w:pPr>
              <w:spacing w:after="0"/>
              <w:rPr>
                <w:sz w:val="18"/>
                <w:szCs w:val="18"/>
                <w:color w:val="auto"/>
              </w:rPr>
            </w:pPr>
          </w:p>
        </w:tc>
      </w:tr>
      <w:tr>
        <w:trPr>
          <w:trHeight w:val="223"/>
        </w:trPr>
        <w:tc>
          <w:tcPr>
            <w:tcW w:w="138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8"/>
              </w:rPr>
              <w:t>648,313</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659,820</w:t>
            </w:r>
          </w:p>
        </w:tc>
        <w:tc>
          <w:tcPr>
            <w:tcW w:w="100" w:type="dxa"/>
            <w:vAlign w:val="bottom"/>
          </w:tcPr>
          <w:p>
            <w:pPr>
              <w:spacing w:after="0"/>
              <w:rPr>
                <w:sz w:val="19"/>
                <w:szCs w:val="19"/>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 compliance with all applicable financial covenants of existing loan agreements at December 31, 2011. On March 30, 2011, the company obtained from the lending institutions participating in the previously-existing credit agreement a waiver of default following identification of the need to restate the financial statements in our original Annual Report on Form 10-K filed on February 22, 2011.</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May 25, 2011, the company entered into a $1.0 billion Amended and Restated Credit Agreement (the “Amended Credit Agreement”) with a group of lenders, most of whom participated in the company’s previously-existing $1.25 billion Credit Agreement. The Amended Credit Agreement provides for an asset based, multi-currency revolving credit facility (the “Facility”). The Amended Credit Agreement also provides that the Facility may be increased by up to $250 million, subject to certain terms and conditions, including obtaining increased commitments from existing or new lenders. The amount that can be drawn on the Facility at any given time is determined based on percentages of certain accounts receivable, inventory and credit card receivables (the “Borrowing Base”). At December 31, 2011, the company was eligible to borrow approximately $845.6 million of the Facility based on the December Borrowing Base certificate. The Facility includes a sub-facility of up to $200 million which is available to certain of the company’s European subsidiaries (the “European Borrowers”). Certain of the company’s domestic subsidiaries (the “Domestic Guarantors”) guaranty the obligations under the Facility. The Agreement also provides for a letter of credit sub-facility of up to $325 million. All loans borrowed under the Agreement may be borrowed, repaid and reborrowed from time to time until the maturity date of May 25, 2016.</w:t>
      </w:r>
    </w:p>
    <w:p>
      <w:pPr>
        <w:spacing w:after="0" w:line="1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All amounts borrowed under the Facility, as well as the obligations of the Domestic Guarantors, are secured by a lien on the company’s and such Domestic Guarantors’ accounts receivables, inventory, cash, cash equivalents and deposit accounts. All amounts borrowed by the European Borrowers under the Facility are secured by a lien on such European Borrowers’ accounts receivable, inventory, cash, cash equivalents and deposit accounts, 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well as certain other assets. At the company’s option, borrowings made pursuant to the Facility bear interest at either, (i) the alternate base rate (defined as the higher of the Prime Rate (as announced by the Agent), the Federal Funds Rate plus 1/2 of 1% and the one month Adjusted LIBO Rate (defined below) and 1%) or</w:t>
      </w:r>
    </w:p>
    <w:p>
      <w:pPr>
        <w:jc w:val="both"/>
        <w:ind w:firstLine="8"/>
        <w:spacing w:after="0" w:line="253" w:lineRule="auto"/>
        <w:tabs>
          <w:tab w:leader="none" w:pos="2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Adjusted LIBO Rate (defined as the LIBO Rate as adjusted for statutory revenues) plus, in either case, a certain margin based on the aggregate average availability under the Facility. The Amended Credit Agreement also contains representations, warranties, affirmative and negative covenants, and default provisions which are conditions precedent to borrowing. The most significant of these covenants and default provisions include limitations in certain circumstances on acquisitions, dispositions, share repurchases and the payment of cash dividends. The company has never paid a cash dividend on its common stock.</w:t>
      </w:r>
    </w:p>
    <w:p>
      <w:pPr>
        <w:spacing w:after="0" w:line="1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Facility also includes provisions whereby if the global availability is less than $150.0 million, or the European availability is below $37.5 million, the company’s cash collections go first to the agent to satisfy outstanding borrowings. Further, if total availability falls below $125.0 million, a fixed charge coverage ratio test is required. Any event of default that is not cured within the permitted period, including non-payment of amounts when due, any debt in excess of $25 million becoming due before the scheduled maturity date, or the acquisition of more than 40% of the ownership of the company by any person or group, could result in a termination of the Facility and all amounts outstanding becoming immediately due and payable.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Amended Credit Agreement also permits the company to use the Facility to redeem, tender or otherwise repurchase its existing 6.25% senior notes subject to a $600 million minimum liquidity requirement.</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At December 31, 2011, the company had approximately $734.4 million of available credit under the Facility. At December 31, 2011, no amounts were outstanding under the Facility. Letters of credit outstanding under the Facility totaled approximately $111.2 million. An additional $0.2 million of letters of credit were outstanding under separate agreements. Average borrowings under the Facility during 2011 were approximately $61.9 million at an average interest rate of 3.5%. The maximum month end amount outstanding during 2011 occurred in May at approximately $117.5 million.</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December 31, 2011, the company had short-term borrowings of $15.1 million. These borrowings primarily represent outstanding balances under various local currency credit facilities for our international subsidiaries that had an effective interest rate at the end of the year of approximately 2.2%. The majority of these short-term borrowings represent outstanding balances on uncommitted lines of credit, which do not contain financial covenants.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2003, we issued $400 million senior notes due August 2013. These notes are not callable and bear interest at the rate of 6.25% per year, to be paid on February 15 and August 15 of each year. The notes contain provisions that, in certain circumstances, place financial restrictions or limitations on us. Simultaneous with completing the offering, we liquidated a treasury rate lock. The proceeds are being amortized over the term of the issue, reducing the effective interest rate to 5.86%. During 2004, we entered into a series of fixed-to-variable interest rate swap agreements as fair value hedges on the $400 million of notes. The swap agreements were terminated during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Capital lease obligations primarily relate to buildings and equipment.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Aggregate annual maturities of long-term debt and capital lease obligations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6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55,128</w:t>
            </w:r>
          </w:p>
        </w:tc>
        <w:tc>
          <w:tcPr>
            <w:tcW w:w="460" w:type="dxa"/>
            <w:vAlign w:val="bottom"/>
            <w:tcBorders>
              <w:top w:val="single" w:sz="8" w:color="auto"/>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2013</w:t>
            </w:r>
          </w:p>
        </w:tc>
        <w:tc>
          <w:tcPr>
            <w:tcW w:w="6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435,859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35,314</w:t>
            </w:r>
          </w:p>
        </w:tc>
        <w:tc>
          <w:tcPr>
            <w:tcW w:w="4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2015</w:t>
            </w:r>
          </w:p>
        </w:tc>
        <w:tc>
          <w:tcPr>
            <w:tcW w:w="6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34,893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30,677</w:t>
            </w:r>
          </w:p>
        </w:tc>
        <w:tc>
          <w:tcPr>
            <w:tcW w:w="4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224,198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816,069</w:t>
            </w:r>
          </w:p>
        </w:tc>
        <w:tc>
          <w:tcPr>
            <w:tcW w:w="4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Less amount representing interest on capital leases</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(131,355)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684,714</w:t>
            </w: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(36,401)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648,313</w:t>
            </w: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NOTE F – INCOME TAXES</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60" w:type="dxa"/>
            <w:vAlign w:val="bottom"/>
            <w:gridSpan w:val="3"/>
          </w:tcPr>
          <w:p>
            <w:pPr>
              <w:spacing w:after="0"/>
              <w:rPr>
                <w:sz w:val="20"/>
                <w:szCs w:val="20"/>
                <w:color w:val="auto"/>
              </w:rPr>
            </w:pPr>
            <w:r>
              <w:rPr>
                <w:rFonts w:ascii="Arial" w:cs="Arial" w:eastAsia="Arial" w:hAnsi="Arial"/>
                <w:sz w:val="18"/>
                <w:szCs w:val="18"/>
                <w:color w:val="auto"/>
                <w:w w:val="89"/>
              </w:rPr>
              <w:t>The income tax expense (benefit) related to earnings (loss) from operations consisted of the following:</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240" w:type="dxa"/>
            <w:vAlign w:val="bottom"/>
            <w:gridSpan w:val="2"/>
          </w:tcPr>
          <w:p>
            <w:pPr>
              <w:ind w:left="440"/>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24"/>
                <w:szCs w:val="24"/>
                <w:color w:val="auto"/>
              </w:rPr>
            </w:pPr>
          </w:p>
        </w:tc>
        <w:tc>
          <w:tcPr>
            <w:tcW w:w="1260" w:type="dxa"/>
            <w:vAlign w:val="bottom"/>
          </w:tcPr>
          <w:p>
            <w:pPr>
              <w:jc w:val="right"/>
              <w:ind w:right="676"/>
              <w:spacing w:after="0"/>
              <w:rPr>
                <w:sz w:val="20"/>
                <w:szCs w:val="20"/>
                <w:color w:val="auto"/>
              </w:rPr>
            </w:pPr>
            <w:r>
              <w:rPr>
                <w:rFonts w:ascii="Arial" w:cs="Arial" w:eastAsia="Arial" w:hAnsi="Arial"/>
                <w:sz w:val="14"/>
                <w:szCs w:val="14"/>
                <w:color w:val="auto"/>
              </w:rPr>
              <w:t>2010</w:t>
            </w:r>
          </w:p>
        </w:tc>
        <w:tc>
          <w:tcPr>
            <w:tcW w:w="700" w:type="dxa"/>
            <w:vAlign w:val="bottom"/>
            <w:gridSpan w:val="2"/>
          </w:tcPr>
          <w:p>
            <w:pPr>
              <w:jc w:val="right"/>
              <w:ind w:right="114"/>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40" w:type="dxa"/>
            <w:vAlign w:val="bottom"/>
            <w:gridSpan w:val="2"/>
          </w:tcPr>
          <w:p>
            <w:pPr>
              <w:jc w:val="right"/>
              <w:ind w:right="417"/>
              <w:spacing w:after="0"/>
              <w:rPr>
                <w:sz w:val="20"/>
                <w:szCs w:val="20"/>
                <w:color w:val="auto"/>
              </w:rPr>
            </w:pPr>
            <w:r>
              <w:rPr>
                <w:rFonts w:ascii="Arial" w:cs="Arial" w:eastAsia="Arial" w:hAnsi="Arial"/>
                <w:sz w:val="18"/>
                <w:szCs w:val="18"/>
                <w:b w:val="1"/>
                <w:bCs w:val="1"/>
                <w:color w:val="auto"/>
                <w:w w:val="87"/>
              </w:rPr>
              <w:t>$ (59,504)</w:t>
            </w:r>
          </w:p>
        </w:tc>
        <w:tc>
          <w:tcPr>
            <w:tcW w:w="1260" w:type="dxa"/>
            <w:vAlign w:val="bottom"/>
          </w:tcPr>
          <w:p>
            <w:pPr>
              <w:jc w:val="right"/>
              <w:ind w:right="416"/>
              <w:spacing w:after="0"/>
              <w:rPr>
                <w:sz w:val="20"/>
                <w:szCs w:val="20"/>
                <w:color w:val="auto"/>
              </w:rPr>
            </w:pPr>
            <w:r>
              <w:rPr>
                <w:rFonts w:ascii="Arial" w:cs="Arial" w:eastAsia="Arial" w:hAnsi="Arial"/>
                <w:sz w:val="18"/>
                <w:szCs w:val="18"/>
                <w:color w:val="auto"/>
                <w:w w:val="90"/>
              </w:rPr>
              <w:t>$ (28,278)</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 (41,997)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b w:val="1"/>
                <w:bCs w:val="1"/>
                <w:color w:val="auto"/>
              </w:rPr>
              <w:t>(3,625)</w:t>
            </w:r>
          </w:p>
        </w:tc>
        <w:tc>
          <w:tcPr>
            <w:tcW w:w="12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1,408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Foreign</w:t>
            </w:r>
          </w:p>
        </w:tc>
        <w:tc>
          <w:tcPr>
            <w:tcW w:w="1240" w:type="dxa"/>
            <w:vAlign w:val="bottom"/>
            <w:gridSpan w:val="2"/>
          </w:tcPr>
          <w:p>
            <w:pPr>
              <w:jc w:val="right"/>
              <w:ind w:right="477"/>
              <w:spacing w:after="0"/>
              <w:rPr>
                <w:sz w:val="20"/>
                <w:szCs w:val="20"/>
                <w:color w:val="auto"/>
              </w:rPr>
            </w:pPr>
            <w:r>
              <w:rPr>
                <w:rFonts w:ascii="Arial" w:cs="Arial" w:eastAsia="Arial" w:hAnsi="Arial"/>
                <w:sz w:val="18"/>
                <w:szCs w:val="18"/>
                <w:b w:val="1"/>
                <w:bCs w:val="1"/>
                <w:color w:val="auto"/>
              </w:rPr>
              <w:t>15,023</w:t>
            </w:r>
          </w:p>
        </w:tc>
        <w:tc>
          <w:tcPr>
            <w:tcW w:w="1260" w:type="dxa"/>
            <w:vAlign w:val="bottom"/>
          </w:tcPr>
          <w:p>
            <w:pPr>
              <w:jc w:val="right"/>
              <w:ind w:right="476"/>
              <w:spacing w:after="0"/>
              <w:rPr>
                <w:sz w:val="20"/>
                <w:szCs w:val="20"/>
                <w:color w:val="auto"/>
              </w:rPr>
            </w:pPr>
            <w:r>
              <w:rPr>
                <w:rFonts w:ascii="Arial" w:cs="Arial" w:eastAsia="Arial" w:hAnsi="Arial"/>
                <w:sz w:val="18"/>
                <w:szCs w:val="18"/>
                <w:color w:val="auto"/>
              </w:rPr>
              <w:t>849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40" w:type="dxa"/>
            <w:vAlign w:val="bottom"/>
            <w:gridSpan w:val="2"/>
          </w:tcPr>
          <w:p>
            <w:pPr>
              <w:jc w:val="right"/>
              <w:ind w:right="477"/>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233,398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4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b w:val="1"/>
                <w:bCs w:val="1"/>
                <w:color w:val="auto"/>
              </w:rPr>
              <w:t>33</w:t>
            </w:r>
          </w:p>
        </w:tc>
        <w:tc>
          <w:tcPr>
            <w:tcW w:w="12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auto"/>
            </w:tcBorders>
            <w:gridSpan w:val="2"/>
          </w:tcPr>
          <w:p>
            <w:pPr>
              <w:jc w:val="right"/>
              <w:ind w:right="417"/>
              <w:spacing w:after="0"/>
              <w:rPr>
                <w:sz w:val="20"/>
                <w:szCs w:val="20"/>
                <w:color w:val="auto"/>
              </w:rPr>
            </w:pPr>
            <w:r>
              <w:rPr>
                <w:rFonts w:ascii="Arial" w:cs="Arial" w:eastAsia="Arial" w:hAnsi="Arial"/>
                <w:sz w:val="18"/>
                <w:szCs w:val="18"/>
                <w:b w:val="1"/>
                <w:bCs w:val="1"/>
                <w:color w:val="auto"/>
              </w:rPr>
              <w:t>(14,999)</w:t>
            </w: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15,615</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45,643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240" w:type="dxa"/>
            <w:vAlign w:val="bottom"/>
            <w:tcBorders>
              <w:bottom w:val="single" w:sz="8" w:color="auto"/>
            </w:tcBorders>
            <w:gridSpan w:val="2"/>
            <w:shd w:val="clear" w:color="auto" w:fill="CCEEFF"/>
          </w:tcPr>
          <w:p>
            <w:pPr>
              <w:jc w:val="right"/>
              <w:ind w:right="417"/>
              <w:spacing w:after="0"/>
              <w:rPr>
                <w:sz w:val="20"/>
                <w:szCs w:val="20"/>
                <w:color w:val="auto"/>
              </w:rPr>
            </w:pPr>
            <w:r>
              <w:rPr>
                <w:rFonts w:ascii="Arial" w:cs="Arial" w:eastAsia="Arial" w:hAnsi="Arial"/>
                <w:sz w:val="18"/>
                <w:szCs w:val="18"/>
                <w:b w:val="1"/>
                <w:bCs w:val="1"/>
                <w:color w:val="auto"/>
                <w:w w:val="87"/>
              </w:rPr>
              <w:t>$ (63,072)</w:t>
            </w:r>
          </w:p>
        </w:tc>
        <w:tc>
          <w:tcPr>
            <w:tcW w:w="12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0"/>
              </w:rPr>
              <w:t>$ (10,470)</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$287,572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60" w:type="dxa"/>
            <w:vAlign w:val="bottom"/>
            <w:gridSpan w:val="3"/>
          </w:tcPr>
          <w:p>
            <w:pPr>
              <w:spacing w:after="0"/>
              <w:rPr>
                <w:sz w:val="20"/>
                <w:szCs w:val="20"/>
                <w:color w:val="auto"/>
              </w:rPr>
            </w:pPr>
            <w:r>
              <w:rPr>
                <w:rFonts w:ascii="Arial" w:cs="Arial" w:eastAsia="Arial" w:hAnsi="Arial"/>
                <w:sz w:val="18"/>
                <w:szCs w:val="18"/>
                <w:color w:val="auto"/>
              </w:rPr>
              <w:t>The components of earnings (loss) before income taxes consisted of the following:</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26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580" w:type="dxa"/>
            <w:vAlign w:val="bottom"/>
          </w:tcPr>
          <w:p>
            <w:pPr>
              <w:spacing w:after="0"/>
              <w:rPr>
                <w:sz w:val="24"/>
                <w:szCs w:val="24"/>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260" w:type="dxa"/>
            <w:vAlign w:val="bottom"/>
          </w:tcPr>
          <w:p>
            <w:pPr>
              <w:jc w:val="right"/>
              <w:ind w:right="216"/>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(114,231)</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$(271,520)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58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b w:val="1"/>
                <w:bCs w:val="1"/>
                <w:color w:val="auto"/>
                <w:w w:val="98"/>
              </w:rPr>
              <w:t>36,750</w:t>
            </w:r>
          </w:p>
        </w:tc>
        <w:tc>
          <w:tcPr>
            <w:tcW w:w="1260" w:type="dxa"/>
            <w:vAlign w:val="bottom"/>
          </w:tcPr>
          <w:p>
            <w:pPr>
              <w:jc w:val="right"/>
              <w:spacing w:after="0"/>
              <w:rPr>
                <w:sz w:val="20"/>
                <w:szCs w:val="20"/>
                <w:color w:val="auto"/>
              </w:rPr>
            </w:pPr>
            <w:r>
              <w:rPr>
                <w:rFonts w:ascii="Arial" w:cs="Arial" w:eastAsia="Arial" w:hAnsi="Arial"/>
                <w:sz w:val="18"/>
                <w:szCs w:val="18"/>
                <w:color w:val="auto"/>
              </w:rPr>
              <w:t>57,556</w:t>
            </w:r>
          </w:p>
        </w:tc>
        <w:tc>
          <w:tcPr>
            <w:tcW w:w="360" w:type="dxa"/>
            <w:vAlign w:val="bottom"/>
          </w:tcPr>
          <w:p>
            <w:pPr>
              <w:spacing w:after="0"/>
              <w:rPr>
                <w:sz w:val="18"/>
                <w:szCs w:val="18"/>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(39,632)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98"/>
              </w:rPr>
              <w:t>32,619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(56,675)</w:t>
            </w: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7"/>
              </w:rPr>
              <w:t>$ (311,152)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60" w:type="dxa"/>
            <w:vAlign w:val="bottom"/>
            <w:gridSpan w:val="3"/>
          </w:tcPr>
          <w:p>
            <w:pPr>
              <w:ind w:left="5580"/>
              <w:spacing w:after="0"/>
              <w:rPr>
                <w:sz w:val="20"/>
                <w:szCs w:val="20"/>
                <w:color w:val="auto"/>
              </w:rPr>
            </w:pPr>
            <w:r>
              <w:rPr>
                <w:rFonts w:ascii="Arial" w:cs="Arial" w:eastAsia="Arial" w:hAnsi="Arial"/>
                <w:sz w:val="18"/>
                <w:szCs w:val="18"/>
                <w:color w:val="auto"/>
              </w:rPr>
              <w:t>130</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 assets and liabilities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500" w:type="dxa"/>
            <w:vAlign w:val="bottom"/>
            <w:gridSpan w:val="2"/>
          </w:tcPr>
          <w:p>
            <w:pPr>
              <w:ind w:left="22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w w:val="97"/>
              </w:rPr>
              <w:t>December 25,</w:t>
            </w:r>
          </w:p>
        </w:tc>
      </w:tr>
      <w:tr>
        <w:trPr>
          <w:trHeight w:val="16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0" w:type="dxa"/>
            <w:vAlign w:val="bottom"/>
          </w:tcPr>
          <w:p>
            <w:pPr>
              <w:spacing w:after="0"/>
              <w:rPr>
                <w:sz w:val="14"/>
                <w:szCs w:val="14"/>
                <w:color w:val="auto"/>
              </w:rPr>
            </w:pPr>
          </w:p>
        </w:tc>
        <w:tc>
          <w:tcPr>
            <w:tcW w:w="11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and foreign net operating loss carryforwards</w:t>
            </w:r>
          </w:p>
        </w:tc>
        <w:tc>
          <w:tcPr>
            <w:tcW w:w="2400" w:type="dxa"/>
            <w:vAlign w:val="bottom"/>
            <w:tcBorders>
              <w:top w:val="single" w:sz="8" w:color="auto"/>
            </w:tcBorders>
            <w:shd w:val="clear" w:color="auto" w:fill="CCEEFF"/>
          </w:tcPr>
          <w:p>
            <w:pPr>
              <w:ind w:left="22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b w:val="1"/>
                <w:bCs w:val="1"/>
                <w:color w:val="auto"/>
                <w:w w:val="98"/>
              </w:rPr>
              <w:t>379,610</w:t>
            </w:r>
          </w:p>
        </w:tc>
        <w:tc>
          <w:tcPr>
            <w:tcW w:w="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344,878</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rent credit</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w w:val="98"/>
              </w:rPr>
              <w:t>101,679</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107,673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Vacation pay and other accrued compensation</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78,797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71,496</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Accruals for facility closings</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rPr>
              <w:t>32,800</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41,896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13,562</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17,165</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Self-insurance accruals</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rPr>
              <w:t>20,640</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20,622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5,893</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10,764</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State credit carryforwards, net of Federal benefit</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rPr>
              <w:t>13,643</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12,739</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debts</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2,911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9,005</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rebates</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rPr>
              <w:t>7,978</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14,591</w:t>
            </w: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46,713</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Gross deferred tax assets</w:t>
            </w:r>
          </w:p>
        </w:tc>
        <w:tc>
          <w:tcPr>
            <w:tcW w:w="2400" w:type="dxa"/>
            <w:vAlign w:val="bottom"/>
          </w:tcPr>
          <w:p>
            <w:pPr>
              <w:spacing w:after="0"/>
              <w:rPr>
                <w:sz w:val="19"/>
                <w:szCs w:val="19"/>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w w:val="98"/>
              </w:rPr>
              <w:t>704,226</w:t>
            </w:r>
          </w:p>
        </w:tc>
        <w:tc>
          <w:tcPr>
            <w:tcW w:w="5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716,597</w:t>
            </w: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3"/>
              <w:spacing w:after="0"/>
              <w:rPr>
                <w:sz w:val="20"/>
                <w:szCs w:val="20"/>
                <w:color w:val="auto"/>
              </w:rPr>
            </w:pPr>
            <w:r>
              <w:rPr>
                <w:rFonts w:ascii="Arial" w:cs="Arial" w:eastAsia="Arial" w:hAnsi="Arial"/>
                <w:sz w:val="18"/>
                <w:szCs w:val="18"/>
                <w:b w:val="1"/>
                <w:bCs w:val="1"/>
                <w:color w:val="auto"/>
                <w:w w:val="90"/>
              </w:rPr>
              <w:t>(621,719)</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(648,869)</w:t>
            </w:r>
          </w:p>
        </w:tc>
      </w:tr>
      <w:tr>
        <w:trPr>
          <w:trHeight w:val="230"/>
        </w:trPr>
        <w:tc>
          <w:tcPr>
            <w:tcW w:w="20" w:type="dxa"/>
            <w:vAlign w:val="bottom"/>
          </w:tcPr>
          <w:p>
            <w:pPr>
              <w:spacing w:after="0"/>
              <w:rPr>
                <w:sz w:val="20"/>
                <w:szCs w:val="20"/>
                <w:color w:val="auto"/>
              </w:rPr>
            </w:pPr>
          </w:p>
        </w:tc>
        <w:tc>
          <w:tcPr>
            <w:tcW w:w="57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Deferred tax assets</w:t>
            </w:r>
          </w:p>
        </w:tc>
        <w:tc>
          <w:tcPr>
            <w:tcW w:w="24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82,507</w:t>
            </w:r>
          </w:p>
        </w:tc>
        <w:tc>
          <w:tcPr>
            <w:tcW w:w="5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Internal software</w:t>
            </w: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4,216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Basis difference in fixed assets</w:t>
            </w:r>
          </w:p>
        </w:tc>
        <w:tc>
          <w:tcPr>
            <w:tcW w:w="240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b w:val="1"/>
                <w:bCs w:val="1"/>
                <w:color w:val="auto"/>
              </w:rPr>
              <w:t>32,055</w:t>
            </w:r>
          </w:p>
        </w:tc>
        <w:tc>
          <w:tcPr>
            <w:tcW w:w="5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53,391</w:t>
            </w: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Subpart F income</w:t>
            </w:r>
          </w:p>
        </w:tc>
        <w:tc>
          <w:tcPr>
            <w:tcW w:w="2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10,791</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Deferred tax liabilities</w:t>
            </w:r>
          </w:p>
        </w:tc>
        <w:tc>
          <w:tcPr>
            <w:tcW w:w="2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47,062</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0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b w:val="1"/>
                <w:bCs w:val="1"/>
                <w:color w:val="auto"/>
              </w:rPr>
              <w:t>35,445</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13,334</w:t>
            </w: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2011, we had approximately $280 million of U.S. Federal, $822 million of foreign, and $1.2 billion of state net operating loss carryforwards. The U.S. Federal carryforward will expire between 2030 and 2031. Of the foreign carryforwards, $623 million can be carried forward indefinitely, $17 million will expire in 2012, and the balance will expire between 2013 and 2031. Of the state carryforwards, $29 million will expire in 2012, and the balance will expire between 2013 and 2031.</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as a result of the settlement of an audit with a foreign taxing authority, the company has conceded net operating loss carryfowards of $56 million and the previously disclosed $1.73 billion of foreign capital loss carryforwards ($454 million tax-effected) that resulted from a 2010 internal restructuring transaction. Both of these deferred tax attributes were fully offset by valuation allowance prior to the settlement. Under the tax laws of the jurisdiction, the capital loss carryforward was limited to only offset a future capital gain resulting from an intercompany transaction between the specific subsidiaries of the company involved in the 2010 transaction. Because the company believed that it was remote that the capital loss carryforward would be realized in the foreseeable future, a full valuation allowance had been established against the asset and the company had excluded the attribute from the above tabular rendition of deferred tax assets and liabilities.</w:t>
      </w:r>
    </w:p>
    <w:p>
      <w:pPr>
        <w:spacing w:after="0" w:line="14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U.S. income taxes have not been provided on the undistributed earnings of foreign subsidiaries, which were approximately $793 million as of December 31, 2011. We have reinvested such earnings overseas in foreign operations indefinitely and expect that future earnings will also be reinvested overseas indefinitely.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Valuation allowances have been established to reduce our deferred asset to an amount that is more likely than not to be realized and is based upon the uncertainty of the realization of certain deferred tax assets related to net operating loss carryforwards and other tax attributes. Because of the downturn in our performance during this recessionary period, as well as the significant restructuring activities and charges we have taken in response, during the third quarter of 2009, the company established valuation allowances totaling $321.6 million, with $279.1 million related to domestic deferred tax assets and $42.5 million related to foreign deferred tax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establishment of valuation allowances and development of projected annual effective tax rates requires significant judgment and is impacted by various estimates. Both positive and negative evidence, as well as the objectivity and verifiability of that evidence, is considered in determining the appropriateness of recording a valuation allowance on deferred tax assets. An accumulation of recent pre-tax losses is considered strong negative evidence in that evaluation. The charge to establish the valuation allowance followed the third quarter 2009 condition of reaching or nearly reaching a 36 month cumulative loss position in certain taxing jurisdictions. While the company believes positive evidence exists with regard to the realizability of these deferred tax assets, it is not considered sufficient to outweigh the objectively verifiable negative evidence, including the cumulative 36 month pre-tax loss history. Valuation allowances in certain foreign jurisdictions were removed during 2010 and 2011 because sufficient positive financial information existed, resulting in tax benefit recognition of $10 million and $9 million, respectively. Deferred tax assets without valuation allowances remain in certain foreign tax jurisdictions where supported by the evidence.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320" w:type="dxa"/>
            <w:vAlign w:val="bottom"/>
            <w:gridSpan w:val="2"/>
          </w:tcPr>
          <w:p>
            <w:pPr>
              <w:ind w:left="3460"/>
              <w:spacing w:after="0"/>
              <w:rPr>
                <w:sz w:val="20"/>
                <w:szCs w:val="20"/>
                <w:color w:val="auto"/>
              </w:rPr>
            </w:pPr>
            <w:r>
              <w:rPr>
                <w:rFonts w:ascii="Arial" w:cs="Arial" w:eastAsia="Arial" w:hAnsi="Arial"/>
                <w:sz w:val="14"/>
                <w:szCs w:val="14"/>
                <w:b w:val="1"/>
                <w:bCs w:val="1"/>
                <w:color w:val="auto"/>
              </w:rPr>
              <w:t>Beginning</w:t>
            </w:r>
          </w:p>
        </w:tc>
        <w:tc>
          <w:tcPr>
            <w:tcW w:w="380" w:type="dxa"/>
            <w:vAlign w:val="bottom"/>
          </w:tcPr>
          <w:p>
            <w:pPr>
              <w:spacing w:after="0"/>
              <w:rPr>
                <w:sz w:val="14"/>
                <w:szCs w:val="14"/>
                <w:color w:val="auto"/>
              </w:rPr>
            </w:pPr>
          </w:p>
        </w:tc>
        <w:tc>
          <w:tcPr>
            <w:tcW w:w="680" w:type="dxa"/>
            <w:vAlign w:val="bottom"/>
          </w:tcPr>
          <w:p>
            <w:pPr>
              <w:jc w:val="right"/>
              <w:ind w:right="359"/>
              <w:spacing w:after="0"/>
              <w:rPr>
                <w:sz w:val="20"/>
                <w:szCs w:val="20"/>
                <w:color w:val="auto"/>
              </w:rPr>
            </w:pPr>
            <w:r>
              <w:rPr>
                <w:rFonts w:ascii="Arial" w:cs="Arial" w:eastAsia="Arial" w:hAnsi="Arial"/>
                <w:sz w:val="14"/>
                <w:szCs w:val="14"/>
                <w:b w:val="1"/>
                <w:bCs w:val="1"/>
                <w:color w:val="auto"/>
                <w:w w:val="97"/>
              </w:rPr>
              <w:t>Net</w:t>
            </w:r>
          </w:p>
        </w:tc>
        <w:tc>
          <w:tcPr>
            <w:tcW w:w="840" w:type="dxa"/>
            <w:vAlign w:val="bottom"/>
          </w:tcPr>
          <w:p>
            <w:pPr>
              <w:jc w:val="center"/>
              <w:ind w:left="62"/>
              <w:spacing w:after="0"/>
              <w:rPr>
                <w:sz w:val="20"/>
                <w:szCs w:val="20"/>
                <w:color w:val="auto"/>
              </w:rPr>
            </w:pPr>
            <w:r>
              <w:rPr>
                <w:rFonts w:ascii="Arial" w:cs="Arial" w:eastAsia="Arial" w:hAnsi="Arial"/>
                <w:sz w:val="14"/>
                <w:szCs w:val="14"/>
                <w:b w:val="1"/>
                <w:bCs w:val="1"/>
                <w:color w:val="auto"/>
                <w:w w:val="88"/>
              </w:rPr>
              <w:t>Ending</w:t>
            </w:r>
          </w:p>
        </w:tc>
      </w:tr>
      <w:tr>
        <w:trPr>
          <w:trHeight w:val="17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320" w:type="dxa"/>
            <w:vAlign w:val="bottom"/>
            <w:tcBorders>
              <w:bottom w:val="single" w:sz="8" w:color="auto"/>
            </w:tcBorders>
            <w:gridSpan w:val="2"/>
          </w:tcPr>
          <w:p>
            <w:pPr>
              <w:ind w:left="3540"/>
              <w:spacing w:after="0"/>
              <w:rPr>
                <w:sz w:val="20"/>
                <w:szCs w:val="20"/>
                <w:color w:val="auto"/>
              </w:rPr>
            </w:pPr>
            <w:r>
              <w:rPr>
                <w:rFonts w:ascii="Arial" w:cs="Arial" w:eastAsia="Arial" w:hAnsi="Arial"/>
                <w:sz w:val="14"/>
                <w:szCs w:val="14"/>
                <w:b w:val="1"/>
                <w:bCs w:val="1"/>
                <w:color w:val="auto"/>
              </w:rPr>
              <w:t>Balance</w:t>
            </w: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85"/>
              </w:rPr>
              <w:t>Balance</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 at:</w:t>
            </w: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December 31, 2011</w:t>
            </w:r>
          </w:p>
        </w:tc>
        <w:tc>
          <w:tcPr>
            <w:tcW w:w="3600" w:type="dxa"/>
            <w:vAlign w:val="bottom"/>
          </w:tcPr>
          <w:p>
            <w:pPr>
              <w:ind w:left="34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648.9</w:t>
            </w:r>
          </w:p>
        </w:tc>
        <w:tc>
          <w:tcPr>
            <w:tcW w:w="380" w:type="dxa"/>
            <w:vAlign w:val="bottom"/>
          </w:tcPr>
          <w:p>
            <w:pPr>
              <w:ind w:left="2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59"/>
              <w:spacing w:after="0"/>
              <w:rPr>
                <w:sz w:val="20"/>
                <w:szCs w:val="20"/>
                <w:color w:val="auto"/>
              </w:rPr>
            </w:pPr>
            <w:r>
              <w:rPr>
                <w:rFonts w:ascii="Arial" w:cs="Arial" w:eastAsia="Arial" w:hAnsi="Arial"/>
                <w:sz w:val="18"/>
                <w:szCs w:val="18"/>
                <w:b w:val="1"/>
                <w:bCs w:val="1"/>
                <w:color w:val="auto"/>
                <w:w w:val="89"/>
              </w:rPr>
              <w:t>(27.2)</w:t>
            </w:r>
          </w:p>
        </w:tc>
        <w:tc>
          <w:tcPr>
            <w:tcW w:w="840" w:type="dxa"/>
            <w:vAlign w:val="bottom"/>
          </w:tcPr>
          <w:p>
            <w:pPr>
              <w:jc w:val="center"/>
              <w:ind w:left="62"/>
              <w:spacing w:after="0"/>
              <w:rPr>
                <w:sz w:val="20"/>
                <w:szCs w:val="20"/>
                <w:color w:val="auto"/>
              </w:rPr>
            </w:pPr>
            <w:r>
              <w:rPr>
                <w:rFonts w:ascii="Arial" w:cs="Arial" w:eastAsia="Arial" w:hAnsi="Arial"/>
                <w:sz w:val="18"/>
                <w:szCs w:val="18"/>
                <w:b w:val="1"/>
                <w:bCs w:val="1"/>
                <w:color w:val="auto"/>
                <w:w w:val="90"/>
              </w:rPr>
              <w:t>$621.7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December 25, 2010</w:t>
            </w:r>
          </w:p>
        </w:tc>
        <w:tc>
          <w:tcPr>
            <w:tcW w:w="3600" w:type="dxa"/>
            <w:vAlign w:val="bottom"/>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657.0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(8.1)</w:t>
            </w:r>
          </w:p>
        </w:tc>
        <w:tc>
          <w:tcPr>
            <w:tcW w:w="840" w:type="dxa"/>
            <w:vAlign w:val="bottom"/>
            <w:shd w:val="clear" w:color="auto" w:fill="CCEEFF"/>
          </w:tcPr>
          <w:p>
            <w:pPr>
              <w:jc w:val="center"/>
              <w:ind w:left="62"/>
              <w:spacing w:after="0"/>
              <w:rPr>
                <w:sz w:val="20"/>
                <w:szCs w:val="20"/>
                <w:color w:val="auto"/>
              </w:rPr>
            </w:pPr>
            <w:r>
              <w:rPr>
                <w:rFonts w:ascii="Arial" w:cs="Arial" w:eastAsia="Arial" w:hAnsi="Arial"/>
                <w:sz w:val="18"/>
                <w:szCs w:val="18"/>
                <w:color w:val="auto"/>
                <w:w w:val="90"/>
              </w:rPr>
              <w:t>$648.9</w:t>
            </w: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the $621.7 million valuation allowance as of December 31, 2011, $4.4 million is attributable to net operating loss carryforward assets generated from equity compensation deductions that if realized in future period would benefit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income taxes at the Federal statutory rate to the provision (benefit)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600" w:type="dxa"/>
            <w:vAlign w:val="bottom"/>
          </w:tcPr>
          <w:p>
            <w:pPr>
              <w:spacing w:after="0"/>
              <w:rPr>
                <w:sz w:val="14"/>
                <w:szCs w:val="14"/>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080" w:type="dxa"/>
            <w:vAlign w:val="bottom"/>
          </w:tcPr>
          <w:p>
            <w:pPr>
              <w:jc w:val="right"/>
              <w:ind w:right="354"/>
              <w:spacing w:after="0"/>
              <w:rPr>
                <w:sz w:val="20"/>
                <w:szCs w:val="20"/>
                <w:color w:val="auto"/>
              </w:rPr>
            </w:pPr>
            <w:r>
              <w:rPr>
                <w:rFonts w:ascii="Arial" w:cs="Arial" w:eastAsia="Arial" w:hAnsi="Arial"/>
                <w:sz w:val="14"/>
                <w:szCs w:val="14"/>
                <w:color w:val="auto"/>
              </w:rPr>
              <w:t>2010</w:t>
            </w:r>
          </w:p>
        </w:tc>
        <w:tc>
          <w:tcPr>
            <w:tcW w:w="940" w:type="dxa"/>
            <w:vAlign w:val="bottom"/>
          </w:tcPr>
          <w:p>
            <w:pPr>
              <w:jc w:val="right"/>
              <w:ind w:right="15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 tax computed at the statutory rate</w:t>
            </w: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4"/>
              </w:rPr>
              <w:t>11,417</w:t>
            </w:r>
          </w:p>
        </w:tc>
        <w:tc>
          <w:tcPr>
            <w:tcW w:w="10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 (19,836)</w:t>
            </w: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$(108,903)</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6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b w:val="1"/>
                <w:bCs w:val="1"/>
                <w:color w:val="auto"/>
              </w:rPr>
              <w:t>1,417</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1,434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rates other than Federal</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w w:val="86"/>
              </w:rPr>
              <w:t>(22,290)</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(15,926)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(21,882)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Increase (reduction) in valuation allowance</w:t>
            </w:r>
          </w:p>
        </w:tc>
        <w:tc>
          <w:tcPr>
            <w:tcW w:w="26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b w:val="1"/>
                <w:bCs w:val="1"/>
                <w:color w:val="auto"/>
              </w:rPr>
              <w:t>(7,927)</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29,777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387,735</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foreign interest</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4"/>
              </w:rPr>
              <w:t>11,818</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5,094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26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b w:val="1"/>
                <w:bCs w:val="1"/>
                <w:color w:val="auto"/>
                <w:w w:val="86"/>
              </w:rPr>
              <w:t>(77,085)</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(32,283)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5,526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Tax expense from intercompany transactions</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4,955</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1,090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Subpart F income</w:t>
            </w:r>
          </w:p>
        </w:tc>
        <w:tc>
          <w:tcPr>
            <w:tcW w:w="26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b w:val="1"/>
                <w:bCs w:val="1"/>
                <w:color w:val="auto"/>
                <w:w w:val="94"/>
              </w:rPr>
              <w:t>10,101</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1,529</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Disposition of foreign affiliates</w:t>
            </w:r>
          </w:p>
        </w:tc>
        <w:tc>
          <w:tcPr>
            <w:tcW w:w="26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(8,562)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intercompany sale</w:t>
            </w: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20,216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items, net</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2,993</w:t>
            </w: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8,526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w w:val="86"/>
              </w:rPr>
              <w:t>(63,072)</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(10,470)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$ 287,572</w:t>
            </w: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tax jurisdictions related to the line item foreign income taxed at rates other than Federal include the UK, the Netherlands and France.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uncertain tax positions (“UTPs”):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380" w:type="dxa"/>
            <w:vAlign w:val="bottom"/>
          </w:tcPr>
          <w:p>
            <w:pPr>
              <w:spacing w:after="0"/>
              <w:rPr>
                <w:sz w:val="14"/>
                <w:szCs w:val="14"/>
                <w:color w:val="auto"/>
              </w:rPr>
            </w:pPr>
          </w:p>
        </w:tc>
        <w:tc>
          <w:tcPr>
            <w:tcW w:w="9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20" w:type="dxa"/>
            <w:vAlign w:val="bottom"/>
          </w:tcPr>
          <w:p>
            <w:pPr>
              <w:jc w:val="right"/>
              <w:ind w:right="415"/>
              <w:spacing w:after="0"/>
              <w:rPr>
                <w:sz w:val="20"/>
                <w:szCs w:val="20"/>
                <w:color w:val="auto"/>
              </w:rPr>
            </w:pPr>
            <w:r>
              <w:rPr>
                <w:rFonts w:ascii="Arial" w:cs="Arial" w:eastAsia="Arial" w:hAnsi="Arial"/>
                <w:sz w:val="14"/>
                <w:szCs w:val="14"/>
                <w:color w:val="auto"/>
              </w:rPr>
              <w:t>2010</w:t>
            </w:r>
          </w:p>
        </w:tc>
        <w:tc>
          <w:tcPr>
            <w:tcW w:w="920" w:type="dxa"/>
            <w:vAlign w:val="bottom"/>
          </w:tcPr>
          <w:p>
            <w:pPr>
              <w:jc w:val="right"/>
              <w:ind w:right="135"/>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w w:val="95"/>
              </w:rPr>
              <w:t>110,540</w:t>
            </w:r>
          </w:p>
        </w:tc>
        <w:tc>
          <w:tcPr>
            <w:tcW w:w="122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$141,125</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$ 119,626</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38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3,436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5,505</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3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w w:val="95"/>
              </w:rPr>
              <w:t>471,081</w:t>
            </w:r>
          </w:p>
        </w:tc>
        <w:tc>
          <w:tcPr>
            <w:tcW w:w="12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24,936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19,149</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380" w:type="dxa"/>
            <w:vAlign w:val="bottom"/>
          </w:tcPr>
          <w:p>
            <w:pPr>
              <w:spacing w:after="0"/>
              <w:rPr>
                <w:sz w:val="18"/>
                <w:szCs w:val="18"/>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b w:val="1"/>
                <w:bCs w:val="1"/>
                <w:color w:val="auto"/>
              </w:rPr>
              <w:t>(40,083)</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(32,572)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(2,820)</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Statute expirations</w:t>
            </w:r>
          </w:p>
        </w:tc>
        <w:tc>
          <w:tcPr>
            <w:tcW w:w="3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(60,131)</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23"/>
        </w:trPr>
        <w:tc>
          <w:tcPr>
            <w:tcW w:w="20" w:type="dxa"/>
            <w:vAlign w:val="bottom"/>
          </w:tcPr>
          <w:p>
            <w:pPr>
              <w:spacing w:after="0"/>
              <w:rPr>
                <w:sz w:val="19"/>
                <w:szCs w:val="19"/>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w:t>
            </w:r>
          </w:p>
        </w:tc>
        <w:tc>
          <w:tcPr>
            <w:tcW w:w="3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88"/>
              </w:rPr>
              <w:t>(474,880)</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(26,368)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6,527</w:t>
            </w:r>
          </w:p>
        </w:tc>
        <w:tc>
          <w:tcPr>
            <w:tcW w:w="12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$ 110,540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$141,125</w:t>
            </w: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380" w:type="dxa"/>
            <w:vAlign w:val="bottom"/>
          </w:tcPr>
          <w:p>
            <w:pPr>
              <w:jc w:val="right"/>
              <w:ind w:right="2312"/>
              <w:spacing w:after="0"/>
              <w:rPr>
                <w:sz w:val="20"/>
                <w:szCs w:val="20"/>
                <w:color w:val="auto"/>
              </w:rPr>
            </w:pPr>
            <w:r>
              <w:rPr>
                <w:rFonts w:ascii="Arial" w:cs="Arial" w:eastAsia="Arial" w:hAnsi="Arial"/>
                <w:sz w:val="18"/>
                <w:szCs w:val="18"/>
                <w:color w:val="auto"/>
              </w:rPr>
              <w:t>132</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2011, following closure of certain tax audits and the expiration of the statute of limitations on previously open tax years, we reversed approximately $66 million of UTPs. An additional UTP accrual of $15 million was reversed during the fourth quarter of 2011 following closure of certain tax audits.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balance of $6.5 million at December 31, 2011, are $5.1 million of net uncertain tax positions that, if recognized, would affect the effective tax 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of $1.4 million primarily results from positions which if sustained would be fully offset by a valuation allowance.</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file a U.S. federal income tax return and other income tax returns in various states and foreign jurisdictions. With few exceptions, we are no longer subject to U.S. federal, state and local income tax examinations for years before 2009. Our U.S. federal filings for 2009 and 2010 are under routine examination, and it is reasonably possible that audits for some of these periods will be closed prior to the end of 2012. Additionally, the U.S. federal tax return for 2011 is under concurrent year review. Significant international tax jurisdictions include the UK, the Netherlands, France and Germany. Generally, we are subject to routine examination for years 2006 and forward in these jurisdictions. It is reasonably possible that certain of these audits will close within the next 12 months, which could result in a decrease of as much as $2.6 million or an increase of as much as $1.0 million to our accrued uncertain tax positions. Additionally, we anticipate that it is reasonably possible that new issues will be raised or resolved by tax authorities that may require changes to the balance of unrecognized tax benefits, however, an estimate of such changes cannot reasonably be made.</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part of the ongoing 2009 and 2010 audits, the U.S. Internal Revenue Service (“IRS”) has proposed a deemed royalty assessment from our foreign operations with a tax and penalty amount of approximately $126 million. The company disagrees with this assessment and, based on the technical merits of this issue, believes that no accrual is required at this time. The company is working with its outside tax advisors and the IRS to resolve this dispute in a timely manner. To the extent the IRS prevailed on this issue, the income statement impact may be lowered because of available net operating losses and other deferred tax assets.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interest related to unrecognized tax benefits in interest expense and penalties in the provision for income taxes. Because of the expiration of statute and settlement reached with certain taxing authorities, we recognized a net interest credit of $30.4 million in 2011 and $6.7 million in 2010. We recognized expense from interest and penalties of approximately $4.4 million in 2009. We had approximately $7.3 million accrued for the payment of interest and penalties as of December 31, 2011.</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expensing of the fair value of employee stock options, we have elected to calculate our pool of excess tax benefits under the alternative or “short-cut” method. At adoption, this pool of benefits was approximately $55.3 million and was approximately $101.2 million as of December 31, 2011. This pool may increase in future periods if tax benefits realized are in excess of those based on grant date fair values or may decrease if used to absorb future tax deficiencies determined for financial reporting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We lease retail stores and other facilities and equipment under operating lease agreements. Facility leases typically are for a fixed non-cancellable term with one or more renewal options. In addition to minimum rentals, there are certain executory costs such as real estate taxes, insurance and common area maintenance on most of our facility leases. Many lease agreements contain tenant improvement allowances, rent holidays, and/or rent escalation clauses. For purposes of recognizing incentives and minimum rental expenses on a straight-line basis over the terms of the leases, we use the date of initial possession to begin amortization.</w:t>
      </w:r>
    </w:p>
    <w:p>
      <w:pPr>
        <w:spacing w:after="0" w:line="14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recognize a deferred rent liability for tenant improvement allowances and rent holidays and amortize these amounts over the terms of the related leases as a reduction of rent expense. Rent related accruals totaled approximately $254 million and $267 million at December 31, 2011 and December 25, 2010, respectively. The short-term and long-term components of these liabilities are included in accrued expenses and other long-term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liabilities, respectively, on the Consolidated Balance Sheets. For scheduled rent escalation clauses during the lease terms or for rental payments commencing at a date other than the date of initial occupancy, we record minimum rental expenses on a straight-line basis over the terms of the leases.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leases contain provisions for additional rent to be paid if sales exceed a specified amount, though such payments have been immaterial during the years presented.</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table below shows future minimum lease payments due under the non-cancelable portions of our leases as of December 31, 2011. These minimum lease payments include facility leases that were accrued as store closure costs. Additional information including optional lease renewals follows this table.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thousands)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45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2013</w:t>
            </w:r>
          </w:p>
        </w:tc>
        <w:tc>
          <w:tcPr>
            <w:tcW w:w="4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2015</w:t>
            </w:r>
          </w:p>
        </w:tc>
        <w:tc>
          <w:tcPr>
            <w:tcW w:w="4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Thereafter</w:t>
            </w:r>
          </w:p>
        </w:tc>
        <w:tc>
          <w:tcPr>
            <w:tcW w:w="4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565,820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2,327,061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sublease income</w:t>
            </w:r>
          </w:p>
        </w:tc>
        <w:tc>
          <w:tcPr>
            <w:tcW w:w="4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2,272,791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auto"/>
              <w:bottom w:val="single" w:sz="8" w:color="auto"/>
            </w:tcBorders>
          </w:tcPr>
          <w:p>
            <w:pPr>
              <w:spacing w:after="0" w:line="20" w:lineRule="exact"/>
              <w:rPr>
                <w:sz w:val="1"/>
                <w:szCs w:val="1"/>
                <w:color w:val="auto"/>
              </w:rPr>
            </w:pPr>
          </w:p>
        </w:tc>
        <w:tc>
          <w:tcPr>
            <w:tcW w:w="4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the lease term at inception to be the non-cancelable rental period plus any renewal options that are considered reasonably assured. Leasehold improvements are depreciated over the shorter of their estimated useable lives or the identified lease term. Lease payments for the next five years and thereafter that include both the non-cancelable amounts from above, plus the renewal options included in our projected lease term are, $490 million for 2012; $443 million for 2013; $401 million for 2014; $360 million for 2015; $314 million for 2016 and $1,407 million thereafter, for a total of $3,415 million, $3,361 million net of sublease income.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Rent expense, including equipment rental, was $447.1 million, $469.4 million and $498.6 million in 2011, 2010, and 2009, respectively. Rent expense was reduced by sublease income of $3.0 million in 2011, $2.8 million in 2010 and $2.9 million in 2009.</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Legal Matters: </w:t>
      </w:r>
      <w:r>
        <w:rPr>
          <w:rFonts w:ascii="Arial" w:cs="Arial" w:eastAsia="Arial" w:hAnsi="Arial"/>
          <w:sz w:val="18"/>
          <w:szCs w:val="18"/>
          <w:color w:val="auto"/>
        </w:rPr>
        <w:t>We are involved in litigation arising in the normal course of our business. While, from time to time, claims are asserted that make demands for a</w:t>
      </w:r>
      <w:r>
        <w:rPr>
          <w:rFonts w:ascii="Arial" w:cs="Arial" w:eastAsia="Arial" w:hAnsi="Arial"/>
          <w:sz w:val="18"/>
          <w:szCs w:val="18"/>
          <w:b w:val="1"/>
          <w:bCs w:val="1"/>
          <w:color w:val="auto"/>
        </w:rPr>
        <w:t xml:space="preserve"> </w:t>
      </w:r>
      <w:r>
        <w:rPr>
          <w:rFonts w:ascii="Arial" w:cs="Arial" w:eastAsia="Arial" w:hAnsi="Arial"/>
          <w:sz w:val="18"/>
          <w:szCs w:val="18"/>
          <w:color w:val="auto"/>
        </w:rPr>
        <w:t>large sum of money (including, from time to time, actions which are asserted to be maintainable as class action suits), we do not believe that contingent liabilities related to these matters (including the matters discussed below), either individually or in the aggregate, will materially affect our financial position, results of our operations or cash flows.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6, 2011, a putative class action lawsuit was filed against the company and certain current and former executive officers alleging violations of the Securities Exchange Act of 1934 and seeking damages, fees, costs and equitable relief. The allegations made in this lawsuit primarily relate to the company’s previous financial disclosures and reports regarding the certain tax losses described below. The lawsuit was filed in the United States District Court for the Southern District of Florida captioned as Climo v. Office Depot, Inc, Steve Odland, Michael D. Newman and Neil R. Austrian. The Court granted a request by the Central Laborers’ Pension Fund (“CLPF”) to appoint it as lead plaintiff in the case and the CLPF filed its amended complaint on September 6, 2011. The company filed a motion to dismiss the Complaint November 7, 2011, plaintiff’s opposition to the motion to dismiss was filed on January 7, 2012, and the company’s reply was filed on February 7, 2012. Pursuant to Court Order, all discovery is stayed pending a decision on the motion to dismiss.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17, 2011, a derivative lawsuit was filed against certain current and former executive officers and the company, generally alleging that the officers breached their fiduciary duties. The allegations in this lawsuit primarily relate to the company’s previous financial disclosures and reports regarding the certain tax losses described below. The derivative lawsuit was filed in the United States District Court for the Southern District of Florida captioned as Long v. Steve Odland, Michael D. Newman and Neil R. Austrian, defendants, and Office Depot, Inc., nominal defendant. The Special Litigation Committee (“SLC”), which was appointed by the company’s Board of Directors to review the allegations, issued its report on January 9, 2012. As set forth in the report, the SLC determined that the claims alleged in the Complaint should be dismissed. Accordingly, the company intends to file a motion to dismiss the Complaint at the appropriate time.</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allegations made in the above lawsuits primarily relate to the company’s previous financial disclosures and reports regarding certain tax losses. On March 31, 2011, Office Depot announced that the Internal Revenue Service had denied the company’s claim to carry back certain tax losses to prior tax years under economic stimulus-based tax legislation enacted in 2009. As a result, on April 6, 2011, the company restated its financial results to revise the accounting treatment regarding its original tax position. The periods covered by the restatement were the fiscal year ended December 25, 2010 and each of the quarters ended June 26, 2010 and September 25, 2010.</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in the ordinary course of business, our sales to and transactions with government customers may be subject to investigations, audits and review by governmental authorities and regulatory agencies, with which we cooperate. Many of these investigations, audits and reviews are resolved without incident. While claims in these matters may at times assert large demands, we do not believe that contingent liabilities related to these matters, either individually or in the aggregate, will materially affect our financial position, results of our operations or cash flows. Among such matters, during the first quarter of 2011, we were notified that the United States Department of Justice (“DOJ”) commenced an investigation into certain pricing practices related to an expired agreement that was in place between January 2, 2006 and January 1, 2011, pursuant to which state, local and non-profit agencies could purchase office supplies. We are cooperating with the DOJ on this investigation.</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The company has received a proposed tax and penalty assessment from the U.S. Internal Revenue Service totaling approximately $126 million.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disagrees with this assessment. See Note F.</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2011, the company modified terms and conditions of its private label credit card program that, among other things, eliminated recourse to the company for losses, provided the company with portfolio rights at termination, and lowered fees. The previously-established funded reserve was retained by the financial institution and the unfunded bad debt accrual of approximately $8 million was reversed by the company. If sales under the program fall under a specified level on a rolling 12-month basis, the company would be required to make a liquidating damage payment to the financial institution, though no such payment is currently anticipated.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2007, the company’s board of directors adopted, and the shareholders approved, the Office Depot, Inc. 2007 Long-Term Incentive Plan (the “Plan”). The Plan permits the issuance of stock options, stock appreciation rights, restricted stock, restricted stock units, performance-based, and other equity-based incentive awards. The option exercise price for each grant of a stock option shall not be less than 100% of the fair market value of a share of common stock on the date the option is granted. Options granted under the Plan become exercisable from one to five years after the date of grant, provided that the individual is continuously employed with the company. All options granted expire no more than ten years following the date of grant. Our employee share-based awards are generally issued in the first quarter of the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Stock Plan</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2010, the company implemented a one-time voluntary stock option exchange program that had been approved by the board of directors and the company’s shareholders. The fair value exchange program resulted in the tender of 3.8 million shares of eligible options in exchange for approximately 1.4 million of newly-issued options. No additional compensation expense resulted from this value-for-value exchange. The new options have an exercise price of $5.13, which was the closing price of Office Depot, Inc. common stock on the date of the exchange, and the majority of the options will vest over three years. The fair value of the exchanged shares was $2.97 per share. The new options are listed separately in the tables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our stock option plans for the last three years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300"/>
              <w:spacing w:after="0" w:line="129" w:lineRule="exact"/>
              <w:rPr>
                <w:sz w:val="20"/>
                <w:szCs w:val="20"/>
                <w:color w:val="auto"/>
              </w:rPr>
            </w:pPr>
            <w:r>
              <w:rPr>
                <w:rFonts w:ascii="Arial" w:cs="Arial" w:eastAsia="Arial" w:hAnsi="Arial"/>
                <w:sz w:val="14"/>
                <w:szCs w:val="14"/>
                <w:color w:val="auto"/>
                <w:w w:val="84"/>
              </w:rPr>
              <w:t>Weighted</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120"/>
              <w:spacing w:after="0" w:line="129" w:lineRule="exact"/>
              <w:rPr>
                <w:sz w:val="20"/>
                <w:szCs w:val="20"/>
                <w:color w:val="auto"/>
              </w:rPr>
            </w:pPr>
            <w:r>
              <w:rPr>
                <w:rFonts w:ascii="Arial" w:cs="Arial" w:eastAsia="Arial" w:hAnsi="Arial"/>
                <w:sz w:val="14"/>
                <w:szCs w:val="14"/>
                <w:color w:val="auto"/>
                <w:w w:val="8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8"/>
              </w:rPr>
              <w:t>Average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5"/>
              </w:rPr>
              <w:t>Exercise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Price</w:t>
            </w: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20,021,044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24,202,715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11.81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14,479,141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3,680,850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5,140,900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11,901,752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 option exchange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1,350,709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(3,567,513)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(4,510,682)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21.57</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(2,178,178)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 – option exchange</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(3,739,557)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(1,075,205)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(2,423,041)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0.95</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19,059,176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20,021,044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24,202,715</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w:t>
            </w:r>
            <w:r>
              <w:rPr>
                <w:rFonts w:ascii="Arial" w:cs="Arial" w:eastAsia="Arial" w:hAnsi="Arial"/>
                <w:sz w:val="18"/>
                <w:szCs w:val="18"/>
                <w:u w:val="single" w:color="auto"/>
                <w:color w:val="auto"/>
                <w:w w:val="97"/>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weighted-average grant date fair values of options granted during 2011, 2010, and 2009 were $2.25, $3.89, and $0.69, respectively, using the following weighted average assumptions for grants:</w:t>
      </w:r>
    </w:p>
    <w:p>
      <w:pPr>
        <w:spacing w:after="0" w:line="172"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Risk-free interest rates of 1.97% for 2011, 2.3% for 2010, and 2.1% for 2009</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Expected lives of 4.5 years for all three years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dividend yield of zero for all three years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Expected volatility ranging from 67% to 77% for 2011, 64% to 73% for 2010, and 70% to 118% for 2009</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Forfeitures are anticipated at 5% and are adjusted for actual experience over the vesting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at December 31,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Options Outstanding</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Options Exercisable</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tcPr>
          <w:p>
            <w:pPr>
              <w:jc w:val="right"/>
              <w:ind w:right="220"/>
              <w:spacing w:after="0" w:line="131" w:lineRule="exact"/>
              <w:rPr>
                <w:sz w:val="20"/>
                <w:szCs w:val="20"/>
                <w:color w:val="auto"/>
              </w:rPr>
            </w:pPr>
            <w:r>
              <w:rPr>
                <w:rFonts w:ascii="Arial" w:cs="Arial" w:eastAsia="Arial" w:hAnsi="Arial"/>
                <w:sz w:val="14"/>
                <w:szCs w:val="14"/>
                <w:color w:val="auto"/>
              </w:rPr>
              <w:t>Weighted Average</w:t>
            </w:r>
          </w:p>
        </w:tc>
        <w:tc>
          <w:tcPr>
            <w:tcW w:w="840" w:type="dxa"/>
            <w:vAlign w:val="bottom"/>
            <w:gridSpan w:val="2"/>
          </w:tcPr>
          <w:p>
            <w:pPr>
              <w:jc w:val="center"/>
              <w:ind w:left="244"/>
              <w:spacing w:after="0" w:line="131" w:lineRule="exact"/>
              <w:rPr>
                <w:sz w:val="20"/>
                <w:szCs w:val="20"/>
                <w:color w:val="auto"/>
              </w:rPr>
            </w:pPr>
            <w:r>
              <w:rPr>
                <w:rFonts w:ascii="Arial" w:cs="Arial" w:eastAsia="Arial" w:hAnsi="Arial"/>
                <w:sz w:val="14"/>
                <w:szCs w:val="14"/>
                <w:color w:val="auto"/>
                <w:w w:val="87"/>
              </w:rPr>
              <w:t>Weighted</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tcPr>
          <w:p>
            <w:pPr>
              <w:jc w:val="right"/>
              <w:ind w:right="221"/>
              <w:spacing w:after="0" w:line="131" w:lineRule="exact"/>
              <w:rPr>
                <w:sz w:val="20"/>
                <w:szCs w:val="20"/>
                <w:color w:val="auto"/>
              </w:rPr>
            </w:pPr>
            <w:r>
              <w:rPr>
                <w:rFonts w:ascii="Arial" w:cs="Arial" w:eastAsia="Arial" w:hAnsi="Arial"/>
                <w:sz w:val="14"/>
                <w:szCs w:val="14"/>
                <w:color w:val="auto"/>
              </w:rPr>
              <w:t>Weighted Average</w:t>
            </w:r>
          </w:p>
        </w:tc>
        <w:tc>
          <w:tcPr>
            <w:tcW w:w="840" w:type="dxa"/>
            <w:vAlign w:val="bottom"/>
            <w:gridSpan w:val="2"/>
          </w:tcPr>
          <w:p>
            <w:pPr>
              <w:jc w:val="center"/>
              <w:ind w:left="244"/>
              <w:spacing w:after="0" w:line="131" w:lineRule="exact"/>
              <w:rPr>
                <w:sz w:val="20"/>
                <w:szCs w:val="20"/>
                <w:color w:val="auto"/>
              </w:rPr>
            </w:pPr>
            <w:r>
              <w:rPr>
                <w:rFonts w:ascii="Arial" w:cs="Arial" w:eastAsia="Arial" w:hAnsi="Arial"/>
                <w:sz w:val="14"/>
                <w:szCs w:val="14"/>
                <w:color w:val="auto"/>
                <w:w w:val="87"/>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tcPr>
          <w:p>
            <w:pPr>
              <w:jc w:val="center"/>
              <w:ind w:left="40"/>
              <w:spacing w:after="0" w:line="149" w:lineRule="exact"/>
              <w:rPr>
                <w:sz w:val="20"/>
                <w:szCs w:val="20"/>
                <w:color w:val="auto"/>
              </w:rPr>
            </w:pPr>
            <w:r>
              <w:rPr>
                <w:rFonts w:ascii="Arial" w:cs="Arial" w:eastAsia="Arial" w:hAnsi="Arial"/>
                <w:sz w:val="14"/>
                <w:szCs w:val="14"/>
                <w:color w:val="auto"/>
                <w:w w:val="89"/>
              </w:rPr>
              <w:t>Remaining</w:t>
            </w:r>
          </w:p>
        </w:tc>
        <w:tc>
          <w:tcPr>
            <w:tcW w:w="14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4"/>
              </w:rPr>
              <w:t>Average</w:t>
            </w:r>
          </w:p>
        </w:tc>
        <w:tc>
          <w:tcPr>
            <w:tcW w:w="1060" w:type="dxa"/>
            <w:vAlign w:val="bottom"/>
          </w:tcPr>
          <w:p>
            <w:pPr>
              <w:spacing w:after="0"/>
              <w:rPr>
                <w:sz w:val="12"/>
                <w:szCs w:val="12"/>
                <w:color w:val="auto"/>
              </w:rPr>
            </w:pPr>
          </w:p>
        </w:tc>
        <w:tc>
          <w:tcPr>
            <w:tcW w:w="1720" w:type="dxa"/>
            <w:vAlign w:val="bottom"/>
          </w:tcPr>
          <w:p>
            <w:pPr>
              <w:jc w:val="center"/>
              <w:ind w:left="41"/>
              <w:spacing w:after="0" w:line="149" w:lineRule="exact"/>
              <w:rPr>
                <w:sz w:val="20"/>
                <w:szCs w:val="20"/>
                <w:color w:val="auto"/>
              </w:rPr>
            </w:pPr>
            <w:r>
              <w:rPr>
                <w:rFonts w:ascii="Arial" w:cs="Arial" w:eastAsia="Arial" w:hAnsi="Arial"/>
                <w:sz w:val="14"/>
                <w:szCs w:val="14"/>
                <w:color w:val="auto"/>
                <w:w w:val="89"/>
              </w:rPr>
              <w:t>Remaining</w:t>
            </w:r>
          </w:p>
        </w:tc>
        <w:tc>
          <w:tcPr>
            <w:tcW w:w="940" w:type="dxa"/>
            <w:vAlign w:val="bottom"/>
            <w:gridSpan w:val="3"/>
          </w:tcPr>
          <w:p>
            <w:pPr>
              <w:jc w:val="center"/>
              <w:ind w:left="144"/>
              <w:spacing w:after="0" w:line="149" w:lineRule="exact"/>
              <w:rPr>
                <w:sz w:val="20"/>
                <w:szCs w:val="20"/>
                <w:color w:val="auto"/>
              </w:rPr>
            </w:pPr>
            <w:r>
              <w:rPr>
                <w:rFonts w:ascii="Arial" w:cs="Arial" w:eastAsia="Arial" w:hAnsi="Arial"/>
                <w:sz w:val="14"/>
                <w:szCs w:val="14"/>
                <w:color w:val="auto"/>
                <w:w w:val="84"/>
              </w:rPr>
              <w:t>Average</w:t>
            </w:r>
          </w:p>
        </w:tc>
      </w:tr>
      <w:tr>
        <w:trPr>
          <w:trHeight w:val="149"/>
        </w:trPr>
        <w:tc>
          <w:tcPr>
            <w:tcW w:w="2960" w:type="dxa"/>
            <w:vAlign w:val="bottom"/>
            <w:gridSpan w:val="3"/>
          </w:tcPr>
          <w:p>
            <w:pPr>
              <w:spacing w:after="0" w:line="149" w:lineRule="exact"/>
              <w:rPr>
                <w:sz w:val="20"/>
                <w:szCs w:val="20"/>
                <w:color w:val="auto"/>
              </w:rPr>
            </w:pPr>
            <w:r>
              <w:rPr>
                <w:rFonts w:ascii="Arial" w:cs="Arial" w:eastAsia="Arial" w:hAnsi="Arial"/>
                <w:sz w:val="14"/>
                <w:szCs w:val="14"/>
                <w:color w:val="auto"/>
              </w:rPr>
              <w:t>Range of</w:t>
            </w:r>
          </w:p>
        </w:tc>
        <w:tc>
          <w:tcPr>
            <w:tcW w:w="520" w:type="dxa"/>
            <w:vAlign w:val="bottom"/>
          </w:tcPr>
          <w:p>
            <w:pPr>
              <w:spacing w:after="0"/>
              <w:rPr>
                <w:sz w:val="12"/>
                <w:szCs w:val="12"/>
                <w:color w:val="auto"/>
              </w:rPr>
            </w:pPr>
          </w:p>
        </w:tc>
        <w:tc>
          <w:tcPr>
            <w:tcW w:w="10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Number</w:t>
            </w:r>
          </w:p>
        </w:tc>
        <w:tc>
          <w:tcPr>
            <w:tcW w:w="1720" w:type="dxa"/>
            <w:vAlign w:val="bottom"/>
          </w:tcPr>
          <w:p>
            <w:pPr>
              <w:jc w:val="center"/>
              <w:ind w:left="40"/>
              <w:spacing w:after="0" w:line="149" w:lineRule="exact"/>
              <w:rPr>
                <w:sz w:val="20"/>
                <w:szCs w:val="20"/>
                <w:color w:val="auto"/>
              </w:rPr>
            </w:pPr>
            <w:r>
              <w:rPr>
                <w:rFonts w:ascii="Arial" w:cs="Arial" w:eastAsia="Arial" w:hAnsi="Arial"/>
                <w:sz w:val="14"/>
                <w:szCs w:val="14"/>
                <w:color w:val="auto"/>
                <w:w w:val="89"/>
              </w:rPr>
              <w:t>Contractual Life</w:t>
            </w:r>
          </w:p>
        </w:tc>
        <w:tc>
          <w:tcPr>
            <w:tcW w:w="14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9"/>
              </w:rPr>
              <w:t>Exercise</w:t>
            </w:r>
          </w:p>
        </w:tc>
        <w:tc>
          <w:tcPr>
            <w:tcW w:w="1060" w:type="dxa"/>
            <w:vAlign w:val="bottom"/>
          </w:tcPr>
          <w:p>
            <w:pPr>
              <w:jc w:val="right"/>
              <w:ind w:right="317"/>
              <w:spacing w:after="0" w:line="149" w:lineRule="exact"/>
              <w:rPr>
                <w:sz w:val="20"/>
                <w:szCs w:val="20"/>
                <w:color w:val="auto"/>
              </w:rPr>
            </w:pPr>
            <w:r>
              <w:rPr>
                <w:rFonts w:ascii="Arial" w:cs="Arial" w:eastAsia="Arial" w:hAnsi="Arial"/>
                <w:sz w:val="14"/>
                <w:szCs w:val="14"/>
                <w:color w:val="auto"/>
              </w:rPr>
              <w:t>Number</w:t>
            </w:r>
          </w:p>
        </w:tc>
        <w:tc>
          <w:tcPr>
            <w:tcW w:w="1720" w:type="dxa"/>
            <w:vAlign w:val="bottom"/>
          </w:tcPr>
          <w:p>
            <w:pPr>
              <w:jc w:val="center"/>
              <w:ind w:left="41"/>
              <w:spacing w:after="0" w:line="149" w:lineRule="exact"/>
              <w:rPr>
                <w:sz w:val="20"/>
                <w:szCs w:val="20"/>
                <w:color w:val="auto"/>
              </w:rPr>
            </w:pPr>
            <w:r>
              <w:rPr>
                <w:rFonts w:ascii="Arial" w:cs="Arial" w:eastAsia="Arial" w:hAnsi="Arial"/>
                <w:sz w:val="14"/>
                <w:szCs w:val="14"/>
                <w:color w:val="auto"/>
                <w:w w:val="89"/>
              </w:rPr>
              <w:t>Contractual Life</w:t>
            </w:r>
          </w:p>
        </w:tc>
        <w:tc>
          <w:tcPr>
            <w:tcW w:w="940" w:type="dxa"/>
            <w:vAlign w:val="bottom"/>
            <w:gridSpan w:val="3"/>
          </w:tcPr>
          <w:p>
            <w:pPr>
              <w:jc w:val="center"/>
              <w:ind w:left="144"/>
              <w:spacing w:after="0" w:line="149" w:lineRule="exact"/>
              <w:rPr>
                <w:sz w:val="20"/>
                <w:szCs w:val="20"/>
                <w:color w:val="auto"/>
              </w:rPr>
            </w:pPr>
            <w:r>
              <w:rPr>
                <w:rFonts w:ascii="Arial" w:cs="Arial" w:eastAsia="Arial" w:hAnsi="Arial"/>
                <w:sz w:val="14"/>
                <w:szCs w:val="14"/>
                <w:color w:val="auto"/>
                <w:w w:val="89"/>
              </w:rPr>
              <w:t>Exercise</w:t>
            </w:r>
          </w:p>
        </w:tc>
      </w:tr>
      <w:tr>
        <w:trPr>
          <w:trHeight w:val="173"/>
        </w:trPr>
        <w:tc>
          <w:tcPr>
            <w:tcW w:w="2960" w:type="dxa"/>
            <w:vAlign w:val="bottom"/>
            <w:gridSpan w:val="3"/>
          </w:tcPr>
          <w:p>
            <w:pPr>
              <w:spacing w:after="0"/>
              <w:rPr>
                <w:sz w:val="20"/>
                <w:szCs w:val="20"/>
                <w:color w:val="auto"/>
              </w:rPr>
            </w:pPr>
            <w:r>
              <w:rPr>
                <w:rFonts w:ascii="Arial" w:cs="Arial" w:eastAsia="Arial" w:hAnsi="Arial"/>
                <w:sz w:val="14"/>
                <w:szCs w:val="14"/>
                <w:color w:val="auto"/>
              </w:rPr>
              <w:t>Exercise Prices</w:t>
            </w:r>
          </w:p>
        </w:tc>
        <w:tc>
          <w:tcPr>
            <w:tcW w:w="520" w:type="dxa"/>
            <w:vAlign w:val="bottom"/>
          </w:tcPr>
          <w:p>
            <w:pPr>
              <w:spacing w:after="0"/>
              <w:rPr>
                <w:sz w:val="15"/>
                <w:szCs w:val="15"/>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color w:val="auto"/>
                <w:w w:val="97"/>
              </w:rPr>
              <w:t>Outstanding</w:t>
            </w:r>
          </w:p>
        </w:tc>
        <w:tc>
          <w:tcPr>
            <w:tcW w:w="1720" w:type="dxa"/>
            <w:vAlign w:val="bottom"/>
          </w:tcPr>
          <w:p>
            <w:pPr>
              <w:jc w:val="center"/>
              <w:ind w:left="40"/>
              <w:spacing w:after="0"/>
              <w:rPr>
                <w:sz w:val="20"/>
                <w:szCs w:val="20"/>
                <w:color w:val="auto"/>
              </w:rPr>
            </w:pPr>
            <w:r>
              <w:rPr>
                <w:rFonts w:ascii="Arial" w:cs="Arial" w:eastAsia="Arial" w:hAnsi="Arial"/>
                <w:sz w:val="14"/>
                <w:szCs w:val="14"/>
                <w:color w:val="auto"/>
                <w:w w:val="89"/>
              </w:rPr>
              <w:t>(in years)</w:t>
            </w:r>
          </w:p>
        </w:tc>
        <w:tc>
          <w:tcPr>
            <w:tcW w:w="420" w:type="dxa"/>
            <w:vAlign w:val="bottom"/>
          </w:tcPr>
          <w:p>
            <w:pPr>
              <w:spacing w:after="0"/>
              <w:rPr>
                <w:sz w:val="15"/>
                <w:szCs w:val="15"/>
                <w:color w:val="auto"/>
              </w:rPr>
            </w:pPr>
          </w:p>
        </w:tc>
        <w:tc>
          <w:tcPr>
            <w:tcW w:w="1040" w:type="dxa"/>
            <w:vAlign w:val="bottom"/>
            <w:gridSpan w:val="2"/>
          </w:tcPr>
          <w:p>
            <w:pPr>
              <w:jc w:val="center"/>
              <w:ind w:right="720"/>
              <w:spacing w:after="0"/>
              <w:rPr>
                <w:sz w:val="20"/>
                <w:szCs w:val="20"/>
                <w:color w:val="auto"/>
              </w:rPr>
            </w:pPr>
            <w:r>
              <w:rPr>
                <w:rFonts w:ascii="Arial" w:cs="Arial" w:eastAsia="Arial" w:hAnsi="Arial"/>
                <w:sz w:val="14"/>
                <w:szCs w:val="14"/>
                <w:color w:val="auto"/>
                <w:w w:val="87"/>
              </w:rPr>
              <w:t>Price</w:t>
            </w:r>
          </w:p>
        </w:tc>
        <w:tc>
          <w:tcPr>
            <w:tcW w:w="1060" w:type="dxa"/>
            <w:vAlign w:val="bottom"/>
          </w:tcPr>
          <w:p>
            <w:pPr>
              <w:jc w:val="right"/>
              <w:ind w:right="237"/>
              <w:spacing w:after="0"/>
              <w:rPr>
                <w:sz w:val="20"/>
                <w:szCs w:val="20"/>
                <w:color w:val="auto"/>
              </w:rPr>
            </w:pPr>
            <w:r>
              <w:rPr>
                <w:rFonts w:ascii="Arial" w:cs="Arial" w:eastAsia="Arial" w:hAnsi="Arial"/>
                <w:sz w:val="14"/>
                <w:szCs w:val="14"/>
                <w:color w:val="auto"/>
                <w:w w:val="99"/>
              </w:rPr>
              <w:t>Exercisable</w:t>
            </w:r>
          </w:p>
        </w:tc>
        <w:tc>
          <w:tcPr>
            <w:tcW w:w="1720" w:type="dxa"/>
            <w:vAlign w:val="bottom"/>
          </w:tcPr>
          <w:p>
            <w:pPr>
              <w:jc w:val="center"/>
              <w:ind w:left="41"/>
              <w:spacing w:after="0"/>
              <w:rPr>
                <w:sz w:val="20"/>
                <w:szCs w:val="20"/>
                <w:color w:val="auto"/>
              </w:rPr>
            </w:pPr>
            <w:r>
              <w:rPr>
                <w:rFonts w:ascii="Arial" w:cs="Arial" w:eastAsia="Arial" w:hAnsi="Arial"/>
                <w:sz w:val="14"/>
                <w:szCs w:val="14"/>
                <w:color w:val="auto"/>
                <w:w w:val="89"/>
              </w:rPr>
              <w:t>(in years)</w:t>
            </w:r>
          </w:p>
        </w:tc>
        <w:tc>
          <w:tcPr>
            <w:tcW w:w="42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Price</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$0.85</w:t>
            </w:r>
          </w:p>
        </w:tc>
        <w:tc>
          <w:tcPr>
            <w:tcW w:w="2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$5.12</w:t>
            </w:r>
          </w:p>
        </w:tc>
        <w:tc>
          <w:tcPr>
            <w:tcW w:w="1560" w:type="dxa"/>
            <w:vAlign w:val="bottom"/>
            <w:tcBorders>
              <w:top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9,537,217</w:t>
            </w:r>
          </w:p>
        </w:tc>
        <w:tc>
          <w:tcPr>
            <w:tcW w:w="17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w:t>
            </w:r>
          </w:p>
        </w:tc>
        <w:tc>
          <w:tcPr>
            <w:tcW w:w="10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4,319,249</w:t>
            </w:r>
          </w:p>
        </w:tc>
        <w:tc>
          <w:tcPr>
            <w:tcW w:w="17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8"/>
                <w:szCs w:val="18"/>
                <w:color w:val="auto"/>
              </w:rPr>
              <w:t>3.62</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5.13 (option exchange)</w:t>
            </w: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995,256</w:t>
            </w:r>
          </w:p>
        </w:tc>
        <w:tc>
          <w:tcPr>
            <w:tcW w:w="1720" w:type="dxa"/>
            <w:vAlign w:val="bottom"/>
          </w:tcPr>
          <w:p>
            <w:pPr>
              <w:jc w:val="right"/>
              <w:ind w:right="220"/>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5.13</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374,020</w:t>
            </w:r>
          </w:p>
        </w:tc>
        <w:tc>
          <w:tcPr>
            <w:tcW w:w="1720" w:type="dxa"/>
            <w:vAlign w:val="bottom"/>
          </w:tcPr>
          <w:p>
            <w:pPr>
              <w:jc w:val="right"/>
              <w:ind w:right="221"/>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5.14</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4,917,893</w:t>
            </w:r>
          </w:p>
        </w:tc>
        <w:tc>
          <w:tcPr>
            <w:tcW w:w="17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7.80</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2,519,605</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79"/>
              </w:rPr>
              <w:t>10.01</w:t>
            </w:r>
          </w:p>
        </w:tc>
        <w:tc>
          <w:tcPr>
            <w:tcW w:w="2560" w:type="dxa"/>
            <w:vAlign w:val="bottom"/>
          </w:tcPr>
          <w:p>
            <w:pPr>
              <w:ind w:left="100"/>
              <w:spacing w:after="0"/>
              <w:rPr>
                <w:sz w:val="20"/>
                <w:szCs w:val="20"/>
                <w:color w:val="auto"/>
              </w:rPr>
            </w:pPr>
            <w:r>
              <w:rPr>
                <w:rFonts w:ascii="Arial" w:cs="Arial" w:eastAsia="Arial" w:hAnsi="Arial"/>
                <w:sz w:val="18"/>
                <w:szCs w:val="18"/>
                <w:color w:val="auto"/>
              </w:rPr>
              <w:t>15.00</w:t>
            </w: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960,634</w:t>
            </w:r>
          </w:p>
        </w:tc>
        <w:tc>
          <w:tcPr>
            <w:tcW w:w="1720" w:type="dxa"/>
            <w:vAlign w:val="bottom"/>
          </w:tcPr>
          <w:p>
            <w:pPr>
              <w:jc w:val="right"/>
              <w:ind w:right="220"/>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11.30</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940,525</w:t>
            </w:r>
          </w:p>
        </w:tc>
        <w:tc>
          <w:tcPr>
            <w:tcW w:w="1720" w:type="dxa"/>
            <w:vAlign w:val="bottom"/>
          </w:tcPr>
          <w:p>
            <w:pPr>
              <w:jc w:val="right"/>
              <w:ind w:right="221"/>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15.01</w:t>
            </w:r>
          </w:p>
        </w:tc>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25.00</w:t>
            </w:r>
          </w:p>
        </w:tc>
        <w:tc>
          <w:tcPr>
            <w:tcW w:w="1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2,275,635</w:t>
            </w:r>
          </w:p>
        </w:tc>
        <w:tc>
          <w:tcPr>
            <w:tcW w:w="17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20.63</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2,275,635</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0.82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25.01</w:t>
            </w: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33.61</w:t>
            </w:r>
          </w:p>
        </w:tc>
        <w:tc>
          <w:tcPr>
            <w:tcW w:w="1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372,541</w:t>
            </w:r>
          </w:p>
        </w:tc>
        <w:tc>
          <w:tcPr>
            <w:tcW w:w="172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1.66</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w w:val="88"/>
              </w:rPr>
              <w:t>31.60</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372,541</w:t>
            </w:r>
          </w:p>
        </w:tc>
        <w:tc>
          <w:tcPr>
            <w:tcW w:w="1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color w:val="auto"/>
              </w:rPr>
              <w:t>1.66</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$0.85</w:t>
            </w:r>
          </w:p>
        </w:tc>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$33.61</w:t>
            </w:r>
          </w:p>
        </w:tc>
        <w:tc>
          <w:tcPr>
            <w:tcW w:w="1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19,059,176</w:t>
            </w:r>
          </w:p>
        </w:tc>
        <w:tc>
          <w:tcPr>
            <w:tcW w:w="17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6.90</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3"/>
              </w:rPr>
              <w:t>10,801,575</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jc w:val="right"/>
              <w:ind w:right="32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of options exercised in 2011 and 2010, was $3.8 million, and $11.9 million, respectively. There were no option exercises in 2009.</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2011, there was approximately $11.1 million of total stock-based compensation expense that has not yet been recognized relating to non-vested awards granted under our option plans. This expense, net of forfeitures, is expected to be recognized over a weighted-average period of approximately 1.9 years. Of the 8.3 million unvested shares, the company estimates that 7.9 million, or 95%, will vest. The number of exercisable shares was 10.8 million shares of common stock at December 31, 2011 and 8.3 million shares of common stock at December 25,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Restricted stock grants typically vest annually over a three-year service period; however, grants made to the company’s board of directors vest immediately and are free of restrictions. In 2011 we granted 2,890,943 shares of restricted stock to our broad-based eligible employee population which typically vest one-third annually on the anniversary of the grant date. Of these shares, two grants of 600,000 shares were awarded to our new Chair and CEO as an incentive for future performance. The first grant of 600,000 restricted shares is subject to a three-year cliff vesting based on a service requirement, and the second grant of 600,000 restricted shares is subject to vesting based on both service and performance requirements. In addition, 256,441 shares were granted to the board of directors as part of their annual compensation and vest immediately. A summary of the status of the company’s nonvested shares as of December 31, 2011, and changes during the year ended December 31, 2011 is presented below.</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2009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Weighted</w:t>
            </w:r>
          </w:p>
        </w:tc>
        <w:tc>
          <w:tcPr>
            <w:tcW w:w="3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Average</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Grant-</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Grant-</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Date</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Price</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beginning of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496,059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10.39</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1,318,162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$ 13.21</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2,663,216</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2,890,943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173,387</w:t>
            </w:r>
          </w:p>
        </w:tc>
        <w:tc>
          <w:tcPr>
            <w:tcW w:w="2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8.01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21,628</w:t>
            </w:r>
          </w:p>
        </w:tc>
        <w:tc>
          <w:tcPr>
            <w:tcW w:w="52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(594,876)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(741,007)</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(1,230,397)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(179,250)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(254,483)</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11.31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(136,285)</w:t>
            </w:r>
          </w:p>
        </w:tc>
        <w:tc>
          <w:tcPr>
            <w:tcW w:w="52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2,612,876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496,059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$ 10.39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1,318,162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December 31, 2011, there was approximately $6.8 million of total unrecognized compensation cost related to nonvested restricted stock. This expense, net of forfeitures, is expected to be recognized over a weighted-average period of two years. Of the 2.6 million unvested shares at year end, the company estimates that 2.3 million will vest. The total grant date fair value of shares vested during 2011 was approximately $5.3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Eligible company employees may participate in the Office Depot, Inc. Retirement Savings Plan (401(k) Plan), which was approved by the board of directors. This plan allows those employees to contribute a percentage of their salary, commissions and bonuses in accordance with plan limitations and provisions of Section 401(k) of the Internal Revenue Code. Company matching contributions were suspended by the compensation and benefits committee of the board of directors during 2009 and 2010. The committee reinstated the company matching provisions at 50% of the first 4% of an employee’s contributions, subject to the limits of the plan, effective with the first pay period beginning in 2011. Matching contributions are invested in the same manner as the participants’ pre-tax contributions. The plan also allows for a discretionary matching contribution in addition to the normal match contributions if approved by the board of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Office Depot also sponsors the Office Depot, Inc. Non-Qualified Deferred Compensation Plan that, until December 2009, permitted eligible highly compensated employees, who were limited in the amount they could contribute to the 401(k) Plan, to alternatively defer a portion of their salary, commissions and bonuses up to maximums and under restrictive conditions specified in this plan and to participate in company matching provisions. The matching contributions to the deferred compensation plan were allocated to hypothetical investment alternatives selected by the participants. The compensation and benefits committee of the board of directors amended the plan to eliminate the predetermined matching contributions effective with the first payroll period beginning in 2009. In October 2009, the compensation and benefits committee amended the plan to no longer accept new deferrals.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2011, 2010, and 2009, $7.2 million, $80.2 thousand, $1.1 million, respectively, was recorded as compensation expense for company contributions to these programs and certain international retirement savings plans. Additionally, nonparticipating annuity premiums were paid for benefits in certain European countries totaling $5.0 million, $4.7 million and $4.9 million in 2011, 2010, and 2009,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has a defined benefit pension plan covering a limited number of employees in Europe. During 2008, curtailment of that plan was approved by the trustees and future service benefits ceased for the remaining employees. The following table provides a reconciliation of changes in the projected benefit obligation, the fair value of plan assets and the funded status of the plan to amounts recognized on our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220" w:type="dxa"/>
            <w:vAlign w:val="bottom"/>
            <w:gridSpan w:val="2"/>
          </w:tcPr>
          <w:p>
            <w:pPr>
              <w:ind w:left="2600"/>
              <w:spacing w:after="0"/>
              <w:rPr>
                <w:sz w:val="20"/>
                <w:szCs w:val="20"/>
                <w:color w:val="auto"/>
              </w:rPr>
            </w:pPr>
            <w:r>
              <w:rPr>
                <w:rFonts w:ascii="Arial" w:cs="Arial" w:eastAsia="Arial" w:hAnsi="Arial"/>
                <w:sz w:val="14"/>
                <w:szCs w:val="14"/>
                <w:b w:val="1"/>
                <w:bCs w:val="1"/>
                <w:color w:val="auto"/>
              </w:rPr>
              <w:t>December 31, 2011</w:t>
            </w:r>
          </w:p>
        </w:tc>
        <w:tc>
          <w:tcPr>
            <w:tcW w:w="1660" w:type="dxa"/>
            <w:vAlign w:val="bottom"/>
            <w:gridSpan w:val="3"/>
          </w:tcPr>
          <w:p>
            <w:pPr>
              <w:ind w:left="480"/>
              <w:spacing w:after="0"/>
              <w:rPr>
                <w:sz w:val="20"/>
                <w:szCs w:val="20"/>
                <w:color w:val="auto"/>
              </w:rPr>
            </w:pPr>
            <w:r>
              <w:rPr>
                <w:rFonts w:ascii="Arial" w:cs="Arial" w:eastAsia="Arial" w:hAnsi="Arial"/>
                <w:sz w:val="14"/>
                <w:szCs w:val="14"/>
                <w:color w:val="auto"/>
                <w:w w:val="94"/>
              </w:rPr>
              <w:t>December 25,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Changes in projected benefit obligation:</w:t>
            </w:r>
          </w:p>
        </w:tc>
        <w:tc>
          <w:tcPr>
            <w:tcW w:w="29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Obligation at beginning of period</w:t>
            </w:r>
          </w:p>
        </w:tc>
        <w:tc>
          <w:tcPr>
            <w:tcW w:w="2900" w:type="dxa"/>
            <w:vAlign w:val="bottom"/>
          </w:tcPr>
          <w:p>
            <w:pPr>
              <w:ind w:left="25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177,195</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cost</w:t>
            </w:r>
          </w:p>
        </w:tc>
        <w:tc>
          <w:tcPr>
            <w:tcW w:w="290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9,838</w:t>
            </w:r>
          </w:p>
        </w:tc>
        <w:tc>
          <w:tcPr>
            <w:tcW w:w="7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Member contributions</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Benefits paid</w:t>
            </w:r>
          </w:p>
        </w:tc>
        <w:tc>
          <w:tcPr>
            <w:tcW w:w="29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(4,118)</w:t>
            </w:r>
          </w:p>
        </w:tc>
        <w:tc>
          <w:tcPr>
            <w:tcW w:w="7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(1,558)</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Currency translation</w:t>
            </w:r>
          </w:p>
        </w:tc>
        <w:tc>
          <w:tcPr>
            <w:tcW w:w="290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1,007</w:t>
            </w:r>
          </w:p>
        </w:tc>
        <w:tc>
          <w:tcPr>
            <w:tcW w:w="7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Obligation at valuation date</w:t>
            </w:r>
          </w:p>
        </w:tc>
        <w:tc>
          <w:tcPr>
            <w:tcW w:w="29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182,364</w:t>
            </w:r>
          </w:p>
        </w:tc>
        <w:tc>
          <w:tcPr>
            <w:tcW w:w="7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40" w:type="dxa"/>
            <w:vAlign w:val="bottom"/>
            <w:gridSpan w:val="2"/>
          </w:tcPr>
          <w:p>
            <w:pPr>
              <w:spacing w:after="0"/>
              <w:rPr>
                <w:sz w:val="20"/>
                <w:szCs w:val="20"/>
                <w:color w:val="auto"/>
              </w:rPr>
            </w:pPr>
            <w:r>
              <w:rPr>
                <w:rFonts w:ascii="Arial" w:cs="Arial" w:eastAsia="Arial" w:hAnsi="Arial"/>
                <w:sz w:val="18"/>
                <w:szCs w:val="18"/>
                <w:color w:val="auto"/>
              </w:rPr>
              <w:t>Changes in plan assets:</w:t>
            </w: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beginning of period</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132,022</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9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(1,259)</w:t>
            </w:r>
          </w:p>
        </w:tc>
        <w:tc>
          <w:tcPr>
            <w:tcW w:w="7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5,293</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Member contributions</w:t>
            </w:r>
          </w:p>
        </w:tc>
        <w:tc>
          <w:tcPr>
            <w:tcW w:w="2900" w:type="dxa"/>
            <w:vAlign w:val="bottom"/>
          </w:tcPr>
          <w:p>
            <w:pPr>
              <w:spacing w:after="0"/>
              <w:rPr>
                <w:sz w:val="18"/>
                <w:szCs w:val="18"/>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(4,118)</w:t>
            </w:r>
          </w:p>
        </w:tc>
        <w:tc>
          <w:tcPr>
            <w:tcW w:w="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Currency translation</w:t>
            </w:r>
          </w:p>
        </w:tc>
        <w:tc>
          <w:tcPr>
            <w:tcW w:w="2900" w:type="dxa"/>
            <w:vAlign w:val="bottom"/>
          </w:tcPr>
          <w:p>
            <w:pPr>
              <w:spacing w:after="0"/>
              <w:rPr>
                <w:sz w:val="19"/>
                <w:szCs w:val="19"/>
                <w:color w:val="auto"/>
              </w:rPr>
            </w:pPr>
          </w:p>
        </w:tc>
        <w:tc>
          <w:tcPr>
            <w:tcW w:w="1320" w:type="dxa"/>
            <w:vAlign w:val="bottom"/>
          </w:tcPr>
          <w:p>
            <w:pPr>
              <w:jc w:val="right"/>
              <w:ind w:right="452"/>
              <w:spacing w:after="0"/>
              <w:rPr>
                <w:sz w:val="20"/>
                <w:szCs w:val="20"/>
                <w:color w:val="auto"/>
              </w:rPr>
            </w:pPr>
            <w:r>
              <w:rPr>
                <w:rFonts w:ascii="Arial" w:cs="Arial" w:eastAsia="Arial" w:hAnsi="Arial"/>
                <w:sz w:val="18"/>
                <w:szCs w:val="18"/>
                <w:b w:val="1"/>
                <w:bCs w:val="1"/>
                <w:color w:val="auto"/>
              </w:rPr>
              <w:t>849</w:t>
            </w:r>
          </w:p>
        </w:tc>
        <w:tc>
          <w:tcPr>
            <w:tcW w:w="7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Plan assets at valuation date</w:t>
            </w:r>
          </w:p>
        </w:tc>
        <w:tc>
          <w:tcPr>
            <w:tcW w:w="29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132,787</w:t>
            </w:r>
          </w:p>
        </w:tc>
        <w:tc>
          <w:tcPr>
            <w:tcW w:w="7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Benefit obligation in excess of plan assets</w:t>
            </w:r>
          </w:p>
        </w:tc>
        <w:tc>
          <w:tcPr>
            <w:tcW w:w="290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(49,577)</w:t>
            </w:r>
          </w:p>
        </w:tc>
        <w:tc>
          <w:tcPr>
            <w:tcW w:w="78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(45,173)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liability recognized at end of period</w:t>
            </w:r>
          </w:p>
        </w:tc>
        <w:tc>
          <w:tcPr>
            <w:tcW w:w="290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(49,577)</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unfunded amount is classified as a non-current liability in the caption deferred taxes and other long-term liabilities on the Consolidated Balance Sheets. Included in OCI was a deferred loss of approximately $1 million and a deferred gain of $6 million at December 31, 2011 and December 25, 2010, respectively. The deferred loss is not expected to be amortized into income during 2012. The plan’s accumulated benefit obligations were approximately $182.4 million and $177.2 million at the 2011 and 2010 valuation dates,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expense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w w:val="96"/>
              </w:rPr>
              <w:t>2009</w:t>
            </w:r>
          </w:p>
        </w:tc>
        <w:tc>
          <w:tcPr>
            <w:tcW w:w="600" w:type="dxa"/>
            <w:vAlign w:val="bottom"/>
            <w:tcBorders>
              <w:bottom w:val="single" w:sz="8" w:color="auto"/>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cost</w:t>
            </w:r>
          </w:p>
        </w:tc>
        <w:tc>
          <w:tcPr>
            <w:tcW w:w="1840" w:type="dxa"/>
            <w:vAlign w:val="bottom"/>
          </w:tcPr>
          <w:p>
            <w:pPr>
              <w:spacing w:after="0"/>
              <w:rPr>
                <w:sz w:val="18"/>
                <w:szCs w:val="18"/>
                <w:color w:val="auto"/>
              </w:rPr>
            </w:pPr>
          </w:p>
        </w:tc>
        <w:tc>
          <w:tcPr>
            <w:tcW w:w="740" w:type="dxa"/>
            <w:vAlign w:val="bottom"/>
          </w:tcPr>
          <w:p>
            <w:pPr>
              <w:jc w:val="right"/>
              <w:ind w:right="196"/>
              <w:spacing w:after="0"/>
              <w:rPr>
                <w:sz w:val="20"/>
                <w:szCs w:val="20"/>
                <w:color w:val="auto"/>
              </w:rPr>
            </w:pPr>
            <w:r>
              <w:rPr>
                <w:rFonts w:ascii="Arial" w:cs="Arial" w:eastAsia="Arial" w:hAnsi="Arial"/>
                <w:sz w:val="18"/>
                <w:szCs w:val="18"/>
                <w:b w:val="1"/>
                <w:bCs w:val="1"/>
                <w:color w:val="auto"/>
                <w:w w:val="97"/>
              </w:rPr>
              <w:t>9,838</w:t>
            </w:r>
          </w:p>
        </w:tc>
        <w:tc>
          <w:tcPr>
            <w:tcW w:w="52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w w:val="83"/>
              </w:rPr>
              <w:t>10,466</w:t>
            </w:r>
          </w:p>
        </w:tc>
        <w:tc>
          <w:tcPr>
            <w:tcW w:w="6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9,006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87"/>
              </w:rPr>
              <w:t>(9,336)</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1"/>
              </w:rPr>
              <w:t>(8,039)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7"/>
              </w:rPr>
              <w:t>(6,291)</w:t>
            </w:r>
          </w:p>
        </w:tc>
      </w:tr>
      <w:tr>
        <w:trPr>
          <w:trHeight w:val="20"/>
        </w:trPr>
        <w:tc>
          <w:tcPr>
            <w:tcW w:w="59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Net periodic pension cost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6"/>
              <w:spacing w:after="0"/>
              <w:rPr>
                <w:sz w:val="20"/>
                <w:szCs w:val="20"/>
                <w:color w:val="auto"/>
              </w:rPr>
            </w:pPr>
            <w:r>
              <w:rPr>
                <w:rFonts w:ascii="Arial" w:cs="Arial" w:eastAsia="Arial" w:hAnsi="Arial"/>
                <w:sz w:val="18"/>
                <w:szCs w:val="18"/>
                <w:b w:val="1"/>
                <w:bCs w:val="1"/>
                <w:color w:val="auto"/>
              </w:rPr>
              <w:t>502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2,427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2,715</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71"/>
        </w:trPr>
        <w:tc>
          <w:tcPr>
            <w:tcW w:w="5980" w:type="dxa"/>
            <w:vAlign w:val="bottom"/>
          </w:tcPr>
          <w:p>
            <w:pPr>
              <w:spacing w:after="0"/>
              <w:rPr>
                <w:sz w:val="20"/>
                <w:szCs w:val="20"/>
                <w:color w:val="auto"/>
              </w:rPr>
            </w:pPr>
            <w:r>
              <w:rPr>
                <w:rFonts w:ascii="Arial" w:cs="Arial" w:eastAsia="Arial" w:hAnsi="Arial"/>
                <w:sz w:val="18"/>
                <w:szCs w:val="18"/>
                <w:color w:val="auto"/>
              </w:rPr>
              <w:t>Assumptions used in calculating the funded status included:</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3"/>
        </w:trPr>
        <w:tc>
          <w:tcPr>
            <w:tcW w:w="598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color w:val="auto"/>
              </w:rPr>
              <w:t>2009</w:t>
            </w: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rate of return on plan assets</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6.00%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6.89%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tcPr>
          <w:p>
            <w:pPr>
              <w:jc w:val="right"/>
              <w:ind w:right="276"/>
              <w:spacing w:after="0"/>
              <w:rPr>
                <w:sz w:val="20"/>
                <w:szCs w:val="20"/>
                <w:color w:val="auto"/>
              </w:rPr>
            </w:pPr>
            <w:r>
              <w:rPr>
                <w:rFonts w:ascii="Arial" w:cs="Arial" w:eastAsia="Arial" w:hAnsi="Arial"/>
                <w:sz w:val="18"/>
                <w:szCs w:val="18"/>
                <w:b w:val="1"/>
                <w:bCs w:val="1"/>
                <w:color w:val="auto"/>
              </w:rPr>
              <w:t>4.70%</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5.70%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increases</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Inflation</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2"/>
          </w:tcPr>
          <w:p>
            <w:pPr>
              <w:jc w:val="right"/>
              <w:ind w:right="276"/>
              <w:spacing w:after="0"/>
              <w:rPr>
                <w:sz w:val="20"/>
                <w:szCs w:val="20"/>
                <w:color w:val="auto"/>
              </w:rPr>
            </w:pPr>
            <w:r>
              <w:rPr>
                <w:rFonts w:ascii="Arial" w:cs="Arial" w:eastAsia="Arial" w:hAnsi="Arial"/>
                <w:sz w:val="18"/>
                <w:szCs w:val="18"/>
                <w:b w:val="1"/>
                <w:bCs w:val="1"/>
                <w:color w:val="auto"/>
              </w:rPr>
              <w:t>3.00%</w:t>
            </w:r>
          </w:p>
        </w:tc>
        <w:tc>
          <w:tcPr>
            <w:tcW w:w="620" w:type="dxa"/>
            <w:vAlign w:val="bottom"/>
          </w:tcPr>
          <w:p>
            <w:pPr>
              <w:jc w:val="right"/>
              <w:spacing w:after="0"/>
              <w:rPr>
                <w:sz w:val="20"/>
                <w:szCs w:val="20"/>
                <w:color w:val="auto"/>
              </w:rPr>
            </w:pPr>
            <w:r>
              <w:rPr>
                <w:rFonts w:ascii="Arial" w:cs="Arial" w:eastAsia="Arial" w:hAnsi="Arial"/>
                <w:sz w:val="18"/>
                <w:szCs w:val="18"/>
                <w:color w:val="auto"/>
              </w:rPr>
              <w:t>3.40%</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3.80%</w:t>
            </w:r>
          </w:p>
        </w:tc>
      </w:tr>
    </w:tbl>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plan’s investment policies and strategies are to ensure assets are available to meet the obligations to the beneficiaries and to adjust plan contributions accordingly. The plan trustees are also committed to reducing the level of risk in the plan over the long term, while retaining a return above that of the growth of liabilities.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long-term rate of return on assets assumption has been derived based on long-term UK government fixed income yields, having regard to the proportion of assets in each asset class. The funds invested in equities have been assumed to return 4.0% above the return on UK government securities of appropriate duration. Funds invested in corporate bonds are assumed to return equal to a 15 year AA bond index. Allowance is made for expenses of 0.5% of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85"/>
              </w:rPr>
              <w:t>Percentage of Plan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78"/>
              </w:rPr>
              <w:t>Assets</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1"/>
              </w:rPr>
              <w:t>Allocation</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auto"/>
            </w:tcBorders>
          </w:tcPr>
          <w:p>
            <w:pPr>
              <w:jc w:val="center"/>
              <w:ind w:left="21"/>
              <w:spacing w:after="0" w:line="142" w:lineRule="exact"/>
              <w:rPr>
                <w:sz w:val="20"/>
                <w:szCs w:val="20"/>
                <w:color w:val="auto"/>
              </w:rPr>
            </w:pPr>
            <w:r>
              <w:rPr>
                <w:rFonts w:ascii="Arial" w:cs="Arial" w:eastAsia="Arial" w:hAnsi="Arial"/>
                <w:sz w:val="14"/>
                <w:szCs w:val="14"/>
                <w:color w:val="auto"/>
                <w:w w:val="83"/>
              </w:rPr>
              <w:t>2010</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2009</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left="22"/>
              <w:spacing w:after="0"/>
              <w:rPr>
                <w:sz w:val="20"/>
                <w:szCs w:val="20"/>
                <w:color w:val="auto"/>
              </w:rPr>
            </w:pPr>
            <w:r>
              <w:rPr>
                <w:rFonts w:ascii="Arial" w:cs="Arial" w:eastAsia="Arial" w:hAnsi="Arial"/>
                <w:sz w:val="18"/>
                <w:szCs w:val="18"/>
                <w:color w:val="auto"/>
                <w:w w:val="90"/>
              </w:rPr>
              <w:t>60% - 95%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Debt securities</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20" w:type="dxa"/>
            <w:vAlign w:val="bottom"/>
            <w:gridSpan w:val="3"/>
          </w:tcPr>
          <w:p>
            <w:pPr>
              <w:jc w:val="center"/>
              <w:ind w:left="212"/>
              <w:spacing w:after="0"/>
              <w:rPr>
                <w:sz w:val="20"/>
                <w:szCs w:val="20"/>
                <w:color w:val="auto"/>
              </w:rPr>
            </w:pPr>
            <w:r>
              <w:rPr>
                <w:rFonts w:ascii="Arial" w:cs="Arial" w:eastAsia="Arial" w:hAnsi="Arial"/>
                <w:sz w:val="18"/>
                <w:szCs w:val="18"/>
                <w:color w:val="auto"/>
                <w:w w:val="92"/>
              </w:rPr>
              <w:t>0% - 30%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2"/>
              </w:rPr>
              <w:t>0% - 10%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center"/>
              <w:ind w:left="212"/>
              <w:spacing w:after="0"/>
              <w:rPr>
                <w:sz w:val="20"/>
                <w:szCs w:val="20"/>
                <w:color w:val="auto"/>
              </w:rPr>
            </w:pPr>
            <w:r>
              <w:rPr>
                <w:rFonts w:ascii="Arial" w:cs="Arial" w:eastAsia="Arial" w:hAnsi="Arial"/>
                <w:sz w:val="18"/>
                <w:szCs w:val="18"/>
                <w:color w:val="auto"/>
                <w:w w:val="92"/>
              </w:rPr>
              <w:t>0% - 10%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The fair value of plan assets by asset category is as follows:</w:t>
            </w: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9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left="420"/>
              <w:spacing w:after="0"/>
              <w:rPr>
                <w:sz w:val="20"/>
                <w:szCs w:val="20"/>
                <w:color w:val="auto"/>
              </w:rPr>
            </w:pPr>
            <w:r>
              <w:rPr>
                <w:rFonts w:ascii="Arial" w:cs="Arial" w:eastAsia="Arial" w:hAnsi="Arial"/>
                <w:sz w:val="14"/>
                <w:szCs w:val="14"/>
                <w:b w:val="1"/>
                <w:bCs w:val="1"/>
                <w:color w:val="auto"/>
                <w:w w:val="87"/>
              </w:rPr>
              <w:t>Fair Value Measurements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at December 31, 2011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 Active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00" w:type="dxa"/>
            <w:vAlign w:val="bottom"/>
            <w:gridSpan w:val="2"/>
          </w:tcPr>
          <w:p>
            <w:pPr>
              <w:jc w:val="center"/>
              <w:ind w:left="2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Identical</w:t>
            </w:r>
          </w:p>
        </w:tc>
        <w:tc>
          <w:tcPr>
            <w:tcW w:w="1000" w:type="dxa"/>
            <w:vAlign w:val="bottom"/>
            <w:gridSpan w:val="2"/>
          </w:tcPr>
          <w:p>
            <w:pPr>
              <w:jc w:val="center"/>
              <w:ind w:left="261"/>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78"/>
              </w:rPr>
              <w:t>Assets</w:t>
            </w:r>
          </w:p>
        </w:tc>
        <w:tc>
          <w:tcPr>
            <w:tcW w:w="1000" w:type="dxa"/>
            <w:vAlign w:val="bottom"/>
            <w:gridSpan w:val="2"/>
          </w:tcPr>
          <w:p>
            <w:pPr>
              <w:jc w:val="center"/>
              <w:ind w:left="261"/>
              <w:spacing w:after="0" w:line="149" w:lineRule="exact"/>
              <w:rPr>
                <w:sz w:val="20"/>
                <w:szCs w:val="20"/>
                <w:color w:val="auto"/>
              </w:rPr>
            </w:pPr>
            <w:r>
              <w:rPr>
                <w:rFonts w:ascii="Arial" w:cs="Arial" w:eastAsia="Arial" w:hAnsi="Arial"/>
                <w:sz w:val="14"/>
                <w:szCs w:val="14"/>
                <w:b w:val="1"/>
                <w:bCs w:val="1"/>
                <w:color w:val="auto"/>
                <w:w w:val="90"/>
              </w:rPr>
              <w:t>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Category</w:t>
            </w:r>
          </w:p>
        </w:tc>
        <w:tc>
          <w:tcPr>
            <w:tcW w:w="1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1)</w:t>
            </w:r>
          </w:p>
        </w:tc>
        <w:tc>
          <w:tcPr>
            <w:tcW w:w="1000" w:type="dxa"/>
            <w:vAlign w:val="bottom"/>
            <w:tcBorders>
              <w:bottom w:val="single" w:sz="8" w:color="auto"/>
            </w:tcBorders>
            <w:gridSpan w:val="2"/>
          </w:tcPr>
          <w:p>
            <w:pPr>
              <w:jc w:val="center"/>
              <w:ind w:left="261"/>
              <w:spacing w:after="0"/>
              <w:rPr>
                <w:sz w:val="20"/>
                <w:szCs w:val="20"/>
                <w:color w:val="auto"/>
              </w:rPr>
            </w:pPr>
            <w:r>
              <w:rPr>
                <w:rFonts w:ascii="Arial" w:cs="Arial" w:eastAsia="Arial" w:hAnsi="Arial"/>
                <w:sz w:val="14"/>
                <w:szCs w:val="14"/>
                <w:b w:val="1"/>
                <w:bCs w:val="1"/>
                <w:color w:val="auto"/>
                <w:w w:val="87"/>
              </w:rPr>
              <w:t>(Level 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Equity securities</w:t>
            </w:r>
          </w:p>
        </w:tc>
        <w:tc>
          <w:tcPr>
            <w:tcW w:w="1640" w:type="dxa"/>
            <w:vAlign w:val="bottom"/>
          </w:tcPr>
          <w:p>
            <w:pPr>
              <w:spacing w:after="0"/>
              <w:rPr>
                <w:sz w:val="18"/>
                <w:szCs w:val="18"/>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91,912</w:t>
            </w:r>
          </w:p>
        </w:tc>
        <w:tc>
          <w:tcPr>
            <w:tcW w:w="4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88,088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40,875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36"/>
              <w:spacing w:after="0"/>
              <w:rPr>
                <w:sz w:val="20"/>
                <w:szCs w:val="20"/>
                <w:color w:val="auto"/>
              </w:rPr>
            </w:pPr>
            <w:r>
              <w:rPr>
                <w:rFonts w:ascii="Arial" w:cs="Arial" w:eastAsia="Arial" w:hAnsi="Arial"/>
                <w:sz w:val="18"/>
                <w:szCs w:val="18"/>
                <w:b w:val="1"/>
                <w:bCs w:val="1"/>
                <w:color w:val="auto"/>
                <w:w w:val="92"/>
              </w:rPr>
              <w:t>132,787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88,088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$ 44,699</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00" w:type="dxa"/>
            <w:vAlign w:val="bottom"/>
          </w:tcPr>
          <w:p>
            <w:pPr>
              <w:spacing w:after="0"/>
              <w:rPr>
                <w:sz w:val="24"/>
                <w:szCs w:val="24"/>
                <w:color w:val="auto"/>
              </w:rPr>
            </w:pPr>
          </w:p>
        </w:tc>
        <w:tc>
          <w:tcPr>
            <w:tcW w:w="1640" w:type="dxa"/>
            <w:vAlign w:val="bottom"/>
          </w:tcPr>
          <w:p>
            <w:pPr>
              <w:jc w:val="right"/>
              <w:ind w:right="612"/>
              <w:spacing w:after="0"/>
              <w:rPr>
                <w:sz w:val="20"/>
                <w:szCs w:val="20"/>
                <w:color w:val="auto"/>
              </w:rPr>
            </w:pPr>
            <w:r>
              <w:rPr>
                <w:rFonts w:ascii="Arial" w:cs="Arial" w:eastAsia="Arial" w:hAnsi="Arial"/>
                <w:sz w:val="18"/>
                <w:szCs w:val="18"/>
                <w:color w:val="auto"/>
              </w:rPr>
              <w:t>139</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Fair Value Measurements</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at December 25, 2010</w:t>
            </w: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29"/>
        </w:trPr>
        <w:tc>
          <w:tcPr>
            <w:tcW w:w="6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20" w:type="dxa"/>
            <w:vAlign w:val="bottom"/>
            <w:gridSpan w:val="2"/>
          </w:tcPr>
          <w:p>
            <w:pPr>
              <w:jc w:val="center"/>
              <w:ind w:left="142"/>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7"/>
              </w:rPr>
              <w:t>Identical</w:t>
            </w: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78"/>
              </w:rPr>
              <w:t>Assets</w:t>
            </w:r>
          </w:p>
        </w:tc>
        <w:tc>
          <w:tcPr>
            <w:tcW w:w="680" w:type="dxa"/>
            <w:vAlign w:val="bottom"/>
          </w:tcPr>
          <w:p>
            <w:pPr>
              <w:spacing w:after="0"/>
              <w:rPr>
                <w:sz w:val="12"/>
                <w:szCs w:val="12"/>
                <w:color w:val="auto"/>
              </w:rPr>
            </w:pPr>
          </w:p>
        </w:tc>
        <w:tc>
          <w:tcPr>
            <w:tcW w:w="1100" w:type="dxa"/>
            <w:vAlign w:val="bottom"/>
          </w:tcPr>
          <w:p>
            <w:pPr>
              <w:jc w:val="center"/>
              <w:ind w:right="596"/>
              <w:spacing w:after="0" w:line="149" w:lineRule="exact"/>
              <w:rPr>
                <w:sz w:val="20"/>
                <w:szCs w:val="20"/>
                <w:color w:val="auto"/>
              </w:rPr>
            </w:pPr>
            <w:r>
              <w:rPr>
                <w:rFonts w:ascii="Arial" w:cs="Arial" w:eastAsia="Arial" w:hAnsi="Arial"/>
                <w:sz w:val="14"/>
                <w:szCs w:val="14"/>
                <w:b w:val="1"/>
                <w:bCs w:val="1"/>
                <w:color w:val="auto"/>
                <w:w w:val="90"/>
              </w:rPr>
              <w:t>Inputs</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7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Category</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7"/>
              </w:rPr>
              <w:t>(Level 1)</w:t>
            </w: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95,699</w:t>
            </w:r>
          </w:p>
        </w:tc>
        <w:tc>
          <w:tcPr>
            <w:tcW w:w="480" w:type="dxa"/>
            <w:vAlign w:val="bottom"/>
          </w:tcPr>
          <w:p>
            <w:pPr>
              <w:spacing w:after="0"/>
              <w:rPr>
                <w:sz w:val="18"/>
                <w:szCs w:val="18"/>
                <w:color w:val="auto"/>
              </w:rPr>
            </w:pP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95,699</w:t>
            </w:r>
          </w:p>
        </w:tc>
        <w:tc>
          <w:tcPr>
            <w:tcW w:w="68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36,323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36,323</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56"/>
              <w:spacing w:after="0"/>
              <w:rPr>
                <w:sz w:val="20"/>
                <w:szCs w:val="20"/>
                <w:color w:val="auto"/>
              </w:rPr>
            </w:pPr>
            <w:r>
              <w:rPr>
                <w:rFonts w:ascii="Arial" w:cs="Arial" w:eastAsia="Arial" w:hAnsi="Arial"/>
                <w:sz w:val="18"/>
                <w:szCs w:val="18"/>
                <w:b w:val="1"/>
                <w:bCs w:val="1"/>
                <w:color w:val="auto"/>
                <w:w w:val="92"/>
              </w:rPr>
              <w:t>132,022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132,022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6040" w:type="dxa"/>
            <w:vAlign w:val="bottom"/>
          </w:tcPr>
          <w:p>
            <w:pPr>
              <w:spacing w:after="0"/>
              <w:rPr>
                <w:sz w:val="20"/>
                <w:szCs w:val="20"/>
                <w:color w:val="auto"/>
              </w:rPr>
            </w:pPr>
            <w:r>
              <w:rPr>
                <w:rFonts w:ascii="Arial" w:cs="Arial" w:eastAsia="Arial" w:hAnsi="Arial"/>
                <w:sz w:val="18"/>
                <w:szCs w:val="18"/>
                <w:color w:val="auto"/>
                <w:w w:val="89"/>
              </w:rPr>
              <w:t>Anticipated benefit payments, at December 31, 2011 exchange rates, are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Next five years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25,292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January 2012, the company settled an outstanding dispute with the seller of the entity which included this pension plan. Amounts received from the seller have been contributed to the plan in 2012. See Note R for additional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FAIR VALUE MEASUREMENTS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measurement date. In developing its fair value estimates, the company uses the following hierarchy:</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market based inputs or unobservable inputs that are corroborated by market data.</w:t>
      </w:r>
    </w:p>
    <w:p>
      <w:pPr>
        <w:spacing w:after="0" w:line="225"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Significant unobservable inputs that are not corroborated by market data. Generally, these fair value measures are model-based valuation techniques such as discounted cash flows or option pricing models using our own estimates and assumptions or those expected to be used by market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of cash and cash equivalents, receivables, accounts payable and accrued expenses and other current liabilities approximate their carrying values because of their short-term nature.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Note A for additional information on cash and cash equivalents, which total $570.7 million at December 31, 2011 (Level 1), as well as fair value estimates used when considering potential impairments of long-lived assets and goodwill (Level 3). Impairment charges of $11.4 million in 2011 and $2.3 million in 2010 were based on estimated fair values of the related assets of $1.7 million in 2011 and $0.4 million in 2010.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our interest rate swaps, foreign currency contracts and fuel contracts are the amounts receivable or payable to terminate the agreements at the reporting date, taking into account current interest rates, exchange rates and commodity prices. The values are based on market-based inputs or unobservable inputs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are corroborated by market data. There were no interest rate swap agreements in place at the end of 2011 and the amounts receivable or payable under foreign currency and fuel contracts were not significant at the end of 2011. See Note J for additional information on our derivative instruments and hedging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Fair value estimates may be required to measure certain assets and liabilities on a nonrecurring basis for asset impairments and exit cost valuations.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color w:val="auto"/>
              </w:rPr>
              <w:t>Fair Value Measurement Category</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0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gridSpan w:val="2"/>
          </w:tcPr>
          <w:p>
            <w:pPr>
              <w:jc w:val="right"/>
              <w:ind w:right="159"/>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82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December 25,</w:t>
            </w:r>
          </w:p>
        </w:tc>
        <w:tc>
          <w:tcPr>
            <w:tcW w:w="100" w:type="dxa"/>
            <w:vAlign w:val="bottom"/>
          </w:tcPr>
          <w:p>
            <w:pPr>
              <w:spacing w:after="0"/>
              <w:rPr>
                <w:sz w:val="11"/>
                <w:szCs w:val="11"/>
                <w:color w:val="auto"/>
              </w:rPr>
            </w:pP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Commodity contracts — fuel</w:t>
            </w:r>
          </w:p>
        </w:tc>
        <w:tc>
          <w:tcPr>
            <w:tcW w:w="2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341</w:t>
            </w:r>
          </w:p>
        </w:tc>
        <w:tc>
          <w:tcPr>
            <w:tcW w:w="1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23"/>
        </w:trPr>
        <w:tc>
          <w:tcPr>
            <w:tcW w:w="5020" w:type="dxa"/>
            <w:vAlign w:val="bottom"/>
          </w:tcPr>
          <w:p>
            <w:pPr>
              <w:spacing w:after="0"/>
              <w:rPr>
                <w:sz w:val="20"/>
                <w:szCs w:val="20"/>
                <w:color w:val="auto"/>
              </w:rPr>
            </w:pPr>
            <w:r>
              <w:rPr>
                <w:rFonts w:ascii="Arial" w:cs="Arial" w:eastAsia="Arial" w:hAnsi="Arial"/>
                <w:sz w:val="18"/>
                <w:szCs w:val="18"/>
                <w:color w:val="auto"/>
              </w:rPr>
              <w:t>Liabilities:</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 — fuel</w:t>
            </w:r>
          </w:p>
        </w:tc>
        <w:tc>
          <w:tcPr>
            <w:tcW w:w="2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251</w:t>
            </w:r>
          </w:p>
        </w:tc>
        <w:tc>
          <w:tcPr>
            <w:tcW w:w="154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50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9"/>
              <w:spacing w:after="0"/>
              <w:rPr>
                <w:sz w:val="20"/>
                <w:szCs w:val="20"/>
                <w:color w:val="auto"/>
              </w:rPr>
            </w:pPr>
            <w:r>
              <w:rPr>
                <w:rFonts w:ascii="Arial" w:cs="Arial" w:eastAsia="Arial" w:hAnsi="Arial"/>
                <w:sz w:val="18"/>
                <w:szCs w:val="18"/>
                <w:b w:val="1"/>
                <w:bCs w:val="1"/>
                <w:color w:val="auto"/>
              </w:rPr>
              <w:t>92</w:t>
            </w:r>
          </w:p>
        </w:tc>
        <w:tc>
          <w:tcPr>
            <w:tcW w:w="154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434</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records its senior notes payable at par value, adjusted for amortization of a fair value hedge which was cancelled in 2005. The fair value of the senior notes indicated in the following table was determined based on quoted market prices.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7"/>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120" w:type="dxa"/>
            <w:vAlign w:val="bottom"/>
          </w:tcPr>
          <w:p>
            <w:pPr>
              <w:jc w:val="center"/>
              <w:ind w:left="387"/>
              <w:spacing w:after="0" w:line="129"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1120" w:type="dxa"/>
            <w:vAlign w:val="bottom"/>
          </w:tcPr>
          <w:p>
            <w:pPr>
              <w:jc w:val="center"/>
              <w:ind w:left="387"/>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5"/>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122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$400 million senior notes</w:t>
            </w:r>
          </w:p>
        </w:tc>
        <w:tc>
          <w:tcPr>
            <w:tcW w:w="2920" w:type="dxa"/>
            <w:vAlign w:val="bottom"/>
            <w:gridSpan w:val="2"/>
            <w:shd w:val="clear" w:color="auto" w:fill="CCEEFF"/>
          </w:tcPr>
          <w:p>
            <w:pPr>
              <w:jc w:val="center"/>
              <w:ind w:left="2032"/>
              <w:spacing w:after="0"/>
              <w:rPr>
                <w:sz w:val="20"/>
                <w:szCs w:val="20"/>
                <w:color w:val="auto"/>
              </w:rPr>
            </w:pPr>
            <w:r>
              <w:rPr>
                <w:rFonts w:ascii="Arial" w:cs="Arial" w:eastAsia="Arial" w:hAnsi="Arial"/>
                <w:sz w:val="18"/>
                <w:szCs w:val="18"/>
                <w:b w:val="1"/>
                <w:bCs w:val="1"/>
                <w:color w:val="auto"/>
                <w:w w:val="90"/>
              </w:rPr>
              <w:t>$399,953</w:t>
            </w:r>
          </w:p>
        </w:tc>
        <w:tc>
          <w:tcPr>
            <w:tcW w:w="1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$381,067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$400,067</w:t>
            </w:r>
          </w:p>
        </w:tc>
        <w:tc>
          <w:tcPr>
            <w:tcW w:w="1120" w:type="dxa"/>
            <w:vAlign w:val="bottom"/>
            <w:shd w:val="clear" w:color="auto" w:fill="CCEEFF"/>
          </w:tcPr>
          <w:p>
            <w:pPr>
              <w:jc w:val="center"/>
              <w:ind w:left="387"/>
              <w:spacing w:after="0"/>
              <w:rPr>
                <w:sz w:val="20"/>
                <w:szCs w:val="20"/>
                <w:color w:val="auto"/>
              </w:rPr>
            </w:pPr>
            <w:r>
              <w:rPr>
                <w:rFonts w:ascii="Arial" w:cs="Arial" w:eastAsia="Arial" w:hAnsi="Arial"/>
                <w:sz w:val="18"/>
                <w:szCs w:val="18"/>
                <w:color w:val="auto"/>
                <w:w w:val="87"/>
              </w:rPr>
              <w:t>$398,000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significant differences between the carrying values and fair values of our financial instruments as of December 31, 2011 and December 25, 2010, except as disclosed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DERIVATIVE INSTRUMENTS AND HEDGING</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global supplier of office products and services we are exposed to risks associated with changes in foreign currency exchange rates, commodity prices and interest rates. Our foreign operations are typically, but not exclusively, conducted in the currency of the local environment. We are exposed to the risk of foreign currency exchange rate changes when we make purchases, sell products, or arrange financings that are denominated in a currency different from the entity’s functional currency. Depending on the settlement timeframe and other factors, we may enter into foreign currency derivative transactions to mitigate those risks. We may designate and account for such qualifying arrangements as hedges. Gains and losses on these cash flow hedging transactions are deferred in OCI and recognized in earnings in the same period as the hedged item. Transactions that are not designated as cash flow hedges are marked to market at each period with changes in value included in earnings. Historically, we have not entered into transactions to hedge our net investment in foreign operations but may in future periods.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are exposed to the risk of changing fuel prices from inbound and outbound transportation arrangements. The structure of many of these transportation arrangements, however, precludes applying hedge accounting. In those circumstances, we may enter into derivative transactions to offset the risk of commodity price changes, and the value of the derivative contract is marked to market at each reporting period with changes recognized in earnings. To the extent fuel arrangements qualify for hedge accounting, gains and losses are deferred in OCI until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such time as the hedged item impacts earnings. At the end of the 2011, the company had entered into a series of monthly option contracts for approximately 10 million gallons of fuel through December 2012 that may or may not be executed.</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changes on our obligations may result from external market factors, as well as changes in our credit rating or availability on our asset based credit facility. We manage our exposure to interest rate risks at the corporate level. Interest rate sensitive assets and liabilities are monitored and assessed for market risk. Currently, no interest rate related derivative arrangements are in place.</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certain markets, we may contract with third parties for our future electricity needs. Such arrangements are not considered derivatives because they are within the ordinary course of business and are for physical delivery. Accordingly, these arrangements are not included in the tables below.</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Financial instruments authorized under the company’s established risk management policy include spot trades, swaps, options, caps, collars, forwards and futures.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Use of derivative financial instruments for speculative purposes is expressly prohibited.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on our hedging and derivative positions and activity.</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Fair value of derivative instruments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92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color w:val="auto"/>
                <w:w w:val="97"/>
              </w:rPr>
              <w:t>December 25,</w:t>
            </w:r>
          </w:p>
        </w:tc>
        <w:tc>
          <w:tcPr>
            <w:tcW w:w="0" w:type="dxa"/>
            <w:vAlign w:val="bottom"/>
          </w:tcPr>
          <w:p>
            <w:pPr>
              <w:spacing w:after="0"/>
              <w:rPr>
                <w:sz w:val="1"/>
                <w:szCs w:val="1"/>
                <w:color w:val="auto"/>
              </w:rPr>
            </w:pPr>
          </w:p>
        </w:tc>
      </w:tr>
      <w:tr>
        <w:trPr>
          <w:trHeight w:val="175"/>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000" w:type="dxa"/>
            <w:vAlign w:val="bottom"/>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3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3000" w:type="dxa"/>
            <w:vAlign w:val="bottom"/>
          </w:tcPr>
          <w:p>
            <w:pPr>
              <w:ind w:left="6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Commodity contracts — fuel</w:t>
            </w:r>
          </w:p>
        </w:tc>
        <w:tc>
          <w:tcPr>
            <w:tcW w:w="3000" w:type="dxa"/>
            <w:vAlign w:val="bottom"/>
          </w:tcPr>
          <w:p>
            <w:pPr>
              <w:ind w:left="6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3000" w:type="dxa"/>
            <w:vAlign w:val="bottom"/>
          </w:tcPr>
          <w:p>
            <w:pPr>
              <w:ind w:left="6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 assets</w:t>
            </w:r>
          </w:p>
        </w:tc>
        <w:tc>
          <w:tcPr>
            <w:tcW w:w="3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Total derivative liabilities</w:t>
            </w: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60" w:right="239" w:bottom="1440" w:gutter="0" w:footer="0" w:header="0"/>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3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7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5"/>
                <w:szCs w:val="15"/>
                <w:color w:val="auto"/>
              </w:rPr>
            </w:pPr>
          </w:p>
        </w:tc>
        <w:tc>
          <w:tcPr>
            <w:tcW w:w="4000" w:type="dxa"/>
            <w:vAlign w:val="bottom"/>
          </w:tcPr>
          <w:p>
            <w:pPr>
              <w:ind w:left="700"/>
              <w:spacing w:after="0"/>
              <w:rPr>
                <w:sz w:val="20"/>
                <w:szCs w:val="20"/>
                <w:color w:val="auto"/>
              </w:rPr>
            </w:pPr>
            <w:r>
              <w:rPr>
                <w:rFonts w:ascii="Arial" w:cs="Arial" w:eastAsia="Arial" w:hAnsi="Arial"/>
                <w:sz w:val="14"/>
                <w:szCs w:val="14"/>
                <w:b w:val="1"/>
                <w:bCs w:val="1"/>
                <w:color w:val="auto"/>
              </w:rPr>
              <w:t>Location of gain/(loss) recognized in earnings</w:t>
            </w:r>
          </w:p>
        </w:tc>
      </w:tr>
      <w:tr>
        <w:trPr>
          <w:trHeight w:val="134"/>
        </w:trPr>
        <w:tc>
          <w:tcPr>
            <w:tcW w:w="20" w:type="dxa"/>
            <w:vAlign w:val="bottom"/>
          </w:tcPr>
          <w:p>
            <w:pPr>
              <w:spacing w:after="0"/>
              <w:rPr>
                <w:sz w:val="11"/>
                <w:szCs w:val="11"/>
                <w:color w:val="auto"/>
              </w:rPr>
            </w:pPr>
          </w:p>
        </w:tc>
        <w:tc>
          <w:tcPr>
            <w:tcW w:w="4260" w:type="dxa"/>
            <w:vAlign w:val="bottom"/>
            <w:tcBorders>
              <w:top w:val="single" w:sz="8" w:color="auto"/>
            </w:tcBorders>
          </w:tcPr>
          <w:p>
            <w:pPr>
              <w:spacing w:after="0" w:line="134" w:lineRule="exact"/>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1"/>
                <w:szCs w:val="11"/>
                <w:color w:val="auto"/>
              </w:rPr>
            </w:pPr>
          </w:p>
        </w:tc>
        <w:tc>
          <w:tcPr>
            <w:tcW w:w="4000" w:type="dxa"/>
            <w:vAlign w:val="bottom"/>
            <w:tcBorders>
              <w:top w:val="single" w:sz="8" w:color="auto"/>
            </w:tcBorders>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w w:val="90"/>
              </w:rPr>
              <w:t>Cost of goods sold and occupancy costs/Miscellaneous</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rPr>
              <w:t>income, net*</w:t>
            </w: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Commodity contracts — fuel</w:t>
            </w: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w w:val="94"/>
              </w:rPr>
              <w:t>Cost of goods sold and occupancy costs &amp; Store and</w:t>
            </w: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rPr>
              <w:t>warehouse operating and selling expenses**</w:t>
            </w:r>
          </w:p>
        </w:tc>
      </w:tr>
      <w:tr>
        <w:trPr>
          <w:trHeight w:val="243"/>
        </w:trPr>
        <w:tc>
          <w:tcPr>
            <w:tcW w:w="20" w:type="dxa"/>
            <w:vAlign w:val="bottom"/>
          </w:tcPr>
          <w:p>
            <w:pPr>
              <w:spacing w:after="0"/>
              <w:rPr>
                <w:sz w:val="21"/>
                <w:szCs w:val="21"/>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1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320" w:type="dxa"/>
            <w:vAlign w:val="bottom"/>
            <w:gridSpan w:val="2"/>
          </w:tcPr>
          <w:p>
            <w:pPr>
              <w:ind w:left="1300"/>
              <w:spacing w:after="0"/>
              <w:rPr>
                <w:sz w:val="20"/>
                <w:szCs w:val="20"/>
                <w:color w:val="auto"/>
              </w:rPr>
            </w:pPr>
            <w:r>
              <w:rPr>
                <w:rFonts w:ascii="Arial" w:cs="Arial" w:eastAsia="Arial" w:hAnsi="Arial"/>
                <w:sz w:val="18"/>
                <w:szCs w:val="18"/>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246620"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Amount of gain/</w:t>
      </w:r>
    </w:p>
    <w:p>
      <w:pPr>
        <w:jc w:val="center"/>
        <w:ind w:right="100"/>
        <w:spacing w:after="0" w:line="223" w:lineRule="auto"/>
        <w:rPr>
          <w:sz w:val="20"/>
          <w:szCs w:val="20"/>
          <w:color w:val="auto"/>
        </w:rPr>
      </w:pPr>
      <w:r>
        <w:rPr>
          <w:rFonts w:ascii="Arial" w:cs="Arial" w:eastAsia="Arial" w:hAnsi="Arial"/>
          <w:sz w:val="14"/>
          <w:szCs w:val="14"/>
          <w:b w:val="1"/>
          <w:bCs w:val="1"/>
          <w:color w:val="auto"/>
        </w:rPr>
        <w:t>(loss) recognized</w:t>
      </w:r>
    </w:p>
    <w:p>
      <w:pPr>
        <w:jc w:val="center"/>
        <w:ind w:right="100"/>
        <w:spacing w:after="0"/>
        <w:rPr>
          <w:sz w:val="20"/>
          <w:szCs w:val="20"/>
          <w:color w:val="auto"/>
        </w:rPr>
      </w:pPr>
      <w:r>
        <w:rPr>
          <w:rFonts w:ascii="Arial" w:cs="Arial" w:eastAsia="Arial" w:hAnsi="Arial"/>
          <w:sz w:val="14"/>
          <w:szCs w:val="14"/>
          <w:b w:val="1"/>
          <w:bCs w:val="1"/>
          <w:color w:val="auto"/>
        </w:rPr>
        <w:t>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5176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140"/>
        <w:spacing w:after="0"/>
        <w:tabs>
          <w:tab w:leader="none" w:pos="1040" w:val="left"/>
          <w:tab w:leader="none" w:pos="19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color w:val="auto"/>
        </w:rPr>
        <w:t>2010</w:t>
      </w:r>
      <w:r>
        <w:rPr>
          <w:sz w:val="20"/>
          <w:szCs w:val="20"/>
          <w:color w:val="auto"/>
        </w:rPr>
        <w:tab/>
      </w:r>
      <w:r>
        <w:rPr>
          <w:rFonts w:ascii="Arial" w:cs="Arial" w:eastAsia="Arial" w:hAnsi="Arial"/>
          <w:sz w:val="12"/>
          <w:szCs w:val="12"/>
          <w:color w:val="auto"/>
        </w:rPr>
        <w:t>2009</w:t>
      </w:r>
    </w:p>
    <w:p>
      <w:pPr>
        <w:spacing w:after="0" w:line="190" w:lineRule="exact"/>
        <w:rPr>
          <w:sz w:val="20"/>
          <w:szCs w:val="20"/>
          <w:color w:val="auto"/>
        </w:rPr>
      </w:pPr>
    </w:p>
    <w:p>
      <w:pPr>
        <w:ind w:left="100" w:hanging="99"/>
        <w:spacing w:after="0"/>
        <w:tabs>
          <w:tab w:leader="none" w:pos="10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(6,452)</w:t>
      </w:r>
      <w:r>
        <w:rPr>
          <w:rFonts w:ascii="Arial" w:cs="Arial" w:eastAsia="Arial" w:hAnsi="Arial"/>
          <w:sz w:val="18"/>
          <w:szCs w:val="18"/>
          <w:color w:val="auto"/>
        </w:rPr>
        <w:t>$(117)</w:t>
      </w:r>
      <w:r>
        <w:rPr>
          <w:rFonts w:ascii="Arial" w:cs="Arial" w:eastAsia="Arial" w:hAnsi="Arial"/>
          <w:sz w:val="16"/>
          <w:szCs w:val="16"/>
          <w:color w:val="auto"/>
        </w:rPr>
        <w:t>$(7,707)</w:t>
      </w:r>
    </w:p>
    <w:p>
      <w:pPr>
        <w:spacing w:after="0" w:line="225" w:lineRule="exact"/>
        <w:rPr>
          <w:sz w:val="20"/>
          <w:szCs w:val="20"/>
          <w:color w:val="auto"/>
        </w:rPr>
      </w:pPr>
    </w:p>
    <w:p>
      <w:pPr>
        <w:ind w:left="160"/>
        <w:spacing w:after="0"/>
        <w:tabs>
          <w:tab w:leader="none" w:pos="1120" w:val="left"/>
          <w:tab w:leader="none" w:pos="2120" w:val="left"/>
        </w:tabs>
        <w:rPr>
          <w:sz w:val="20"/>
          <w:szCs w:val="20"/>
          <w:color w:val="auto"/>
        </w:rPr>
      </w:pPr>
      <w:r>
        <w:rPr>
          <w:rFonts w:ascii="Arial" w:cs="Arial" w:eastAsia="Arial" w:hAnsi="Arial"/>
          <w:sz w:val="18"/>
          <w:szCs w:val="18"/>
          <w:b w:val="1"/>
          <w:bCs w:val="1"/>
          <w:color w:val="auto"/>
        </w:rPr>
        <w:t>3,601</w:t>
      </w:r>
      <w:r>
        <w:rPr>
          <w:sz w:val="20"/>
          <w:szCs w:val="20"/>
          <w:color w:val="auto"/>
        </w:rPr>
        <w:tab/>
      </w:r>
      <w:r>
        <w:rPr>
          <w:rFonts w:ascii="Arial" w:cs="Arial" w:eastAsia="Arial" w:hAnsi="Arial"/>
          <w:sz w:val="18"/>
          <w:szCs w:val="18"/>
          <w:color w:val="auto"/>
        </w:rPr>
        <w:t>253</w:t>
      </w:r>
      <w:r>
        <w:rPr>
          <w:sz w:val="20"/>
          <w:szCs w:val="20"/>
          <w:color w:val="auto"/>
        </w:rPr>
        <w:tab/>
      </w: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176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960" w:val="left"/>
          <w:tab w:leader="none" w:pos="1820" w:val="left"/>
        </w:tabs>
        <w:rPr>
          <w:sz w:val="20"/>
          <w:szCs w:val="20"/>
          <w:color w:val="auto"/>
        </w:rPr>
      </w:pPr>
      <w:r>
        <w:rPr>
          <w:rFonts w:ascii="Arial" w:cs="Arial" w:eastAsia="Arial" w:hAnsi="Arial"/>
          <w:sz w:val="18"/>
          <w:szCs w:val="18"/>
          <w:b w:val="1"/>
          <w:bCs w:val="1"/>
          <w:color w:val="auto"/>
        </w:rPr>
        <w:t>$(2,851)</w:t>
      </w:r>
      <w:r>
        <w:rPr>
          <w:sz w:val="20"/>
          <w:szCs w:val="20"/>
          <w:color w:val="auto"/>
        </w:rPr>
        <w:tab/>
      </w:r>
      <w:r>
        <w:rPr>
          <w:rFonts w:ascii="Arial" w:cs="Arial" w:eastAsia="Arial" w:hAnsi="Arial"/>
          <w:sz w:val="18"/>
          <w:szCs w:val="18"/>
          <w:color w:val="auto"/>
        </w:rPr>
        <w:t>$ 136</w:t>
      </w:r>
      <w:r>
        <w:rPr>
          <w:sz w:val="20"/>
          <w:szCs w:val="20"/>
          <w:color w:val="auto"/>
        </w:rPr>
        <w:tab/>
      </w:r>
      <w:r>
        <w:rPr>
          <w:rFonts w:ascii="Arial" w:cs="Arial" w:eastAsia="Arial" w:hAnsi="Arial"/>
          <w:sz w:val="16"/>
          <w:szCs w:val="16"/>
          <w:color w:val="auto"/>
        </w:rPr>
        <w:t>$(7,596)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176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15176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2">
            <w:col w:w="8600" w:space="320"/>
            <w:col w:w="2500"/>
          </w:cols>
          <w:pgMar w:left="240" w:top="460" w:right="2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Amount of gain/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gain/(loss)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1"/>
              </w:rPr>
              <w:t>(loss) reclassified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Location of gain/(loss) reclassified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from OCI</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cash flow hedges:</w:t>
            </w: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in OCI</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from OCI into earnings</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w w:val="86"/>
              </w:rPr>
              <w:t>into earnings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spacing w:after="0" w:line="143" w:lineRule="exact"/>
              <w:rPr>
                <w:sz w:val="20"/>
                <w:szCs w:val="20"/>
                <w:color w:val="auto"/>
              </w:rPr>
            </w:pPr>
            <w:r>
              <w:rPr>
                <w:rFonts w:ascii="Arial" w:cs="Arial" w:eastAsia="Arial" w:hAnsi="Arial"/>
                <w:sz w:val="14"/>
                <w:szCs w:val="14"/>
                <w:i w:val="1"/>
                <w:iCs w:val="1"/>
                <w:color w:val="auto"/>
              </w:rPr>
              <w:t>(Dollars in thousands)</w:t>
            </w:r>
          </w:p>
        </w:tc>
        <w:tc>
          <w:tcPr>
            <w:tcW w:w="1260" w:type="dxa"/>
            <w:vAlign w:val="bottom"/>
            <w:gridSpan w:val="2"/>
          </w:tcPr>
          <w:p>
            <w:pPr>
              <w:jc w:val="right"/>
              <w:ind w:right="32"/>
              <w:spacing w:after="0" w:line="143"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80" w:type="dxa"/>
            <w:vAlign w:val="bottom"/>
            <w:gridSpan w:val="2"/>
          </w:tcPr>
          <w:p>
            <w:pPr>
              <w:jc w:val="center"/>
              <w:ind w:left="48"/>
              <w:spacing w:after="0" w:line="143" w:lineRule="exact"/>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7"/>
              <w:spacing w:after="0" w:line="143"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0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2011</w:t>
            </w:r>
          </w:p>
        </w:tc>
        <w:tc>
          <w:tcPr>
            <w:tcW w:w="760" w:type="dxa"/>
            <w:vAlign w:val="bottom"/>
            <w:gridSpan w:val="2"/>
          </w:tcPr>
          <w:p>
            <w:pPr>
              <w:jc w:val="right"/>
              <w:ind w:right="59"/>
              <w:spacing w:after="0" w:line="143"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3" w:lineRule="exact"/>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$(1,982)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(266)</w:t>
            </w:r>
          </w:p>
        </w:tc>
        <w:tc>
          <w:tcPr>
            <w:tcW w:w="1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Cost of goods sold and occupancy costs*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$1,123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$(2,229)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Arial" w:cs="Arial" w:eastAsia="Arial" w:hAnsi="Arial"/>
                <w:sz w:val="18"/>
                <w:szCs w:val="18"/>
                <w:color w:val="auto"/>
              </w:rPr>
              <w:t>Commodity contracts — fuel</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Cost of goods sold and occupancy costs &amp;</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Store and warehouse operating and selling</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2,919</w:t>
            </w:r>
          </w:p>
        </w:tc>
        <w:tc>
          <w:tcPr>
            <w:tcW w:w="120" w:type="dxa"/>
            <w:vAlign w:val="bottom"/>
          </w:tcPr>
          <w:p>
            <w:pPr>
              <w:spacing w:after="0"/>
              <w:rPr>
                <w:sz w:val="19"/>
                <w:szCs w:val="19"/>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expenses**</w:t>
            </w:r>
          </w:p>
        </w:tc>
        <w:tc>
          <w:tcPr>
            <w:tcW w:w="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(6,800)</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1,646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2,653</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1,123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(6,800)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3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2011, approximately 60% of the amounts are reflected in cost of goods sold and occupancy costs and the remaining 40% of the amounts are reflected in miscellaneous income, net. For 2010 and 2009, all amounts are reflected in cost of goods sold and occupancy costs.</w:t>
      </w:r>
    </w:p>
    <w:p>
      <w:pPr>
        <w:spacing w:after="0" w:line="4" w:lineRule="exact"/>
        <w:rPr>
          <w:sz w:val="20"/>
          <w:szCs w:val="20"/>
          <w:color w:val="auto"/>
        </w:rPr>
      </w:pPr>
    </w:p>
    <w:p>
      <w:pPr>
        <w:ind w:left="4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Approximately 60% of the amounts for 2011, 2010, and 2009 are reflected in cost of goods sold and occupancy costs. The remaining 40% of the amounts are reflected in store and warehouse operating and selling expenses.</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As of December 31, 2011, there were no hedging arrangements requiring collateral. However, we may be required to provide collateral on certain arrangements in the future. The fair values of our foreign currency contracts and fuel contracts are the amounts receivable or payable to terminate the agreements at the reporting date, taking into account current exchange rates. The values are based on market-based inputs or unobservable inputs that are corroborated by market data.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REDEEMABLE PREFERRED STOCK</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June 23, 2009, Office Depot, Inc. issued 274,596 shares of 10.00% Series A Redeemable Convertible Participating Perpetual Preferred Stock, par value $0.01 per share (“Series A Preferred Stock”), and 75,404 shares of 10.00% Series B Redeemable Conditional Convertible Participating Perpetual Preferred Stock, par value $0.01 per share (“Series B Preferred Stock”), to funds advised by BC Partners, Inc. (the “Investors”), for $350 million (collectively, the “Preferred Stock”). The issued shares are out of 280,000 authorized shares of Series A Preferred Stock and 80,000 authorized shares of Series B Preferred Stock. Approval of conversion and voting rights for these shares was received at a special shareholders’ meeting on October 14, 2009.</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initial liquidation value of $1,000 per preferred share and the conversion rate of $5.00 per common share allow the two series of preferred stock to be initially convertible into 70 million shares of common stock. The conversion rate is subject to anti-dilution adjustments. Until converted or otherwise redeemed, the Preferred Stock is recorded outside of permanent equity on the Consolidated Balance Sheets because certain redemption conditions are not solely within the control of Office Depot. The balance is presented inclusive of accrued dividends and net of approximately $25 million of fees.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Dividends are payable quarterly and will be paid in-kind or, in cash, only to the extent that the company has funds legally available for such payment and a cash dividend is declared by the company’s board of directors and allowed by credit facilities. If not paid in cash, an amount equal to the cash dividend due will be added to the liquidation preference and measured for accounting purposes at fair value. After the third anniversary of issuance, the dividend rate will be reduced to:</w:t>
      </w:r>
    </w:p>
    <w:p>
      <w:pPr>
        <w:spacing w:after="0" w:line="184" w:lineRule="exact"/>
        <w:rPr>
          <w:sz w:val="20"/>
          <w:szCs w:val="20"/>
          <w:color w:val="auto"/>
        </w:rPr>
      </w:pPr>
    </w:p>
    <w:p>
      <w:pPr>
        <w:ind w:left="900" w:right="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7.87% if at any time after June 23, 2010, the closing price of the company’s common stock is greater than or equal to $6.62 per share for a period of 20 consecutive trading days, or</w:t>
      </w:r>
    </w:p>
    <w:p>
      <w:pPr>
        <w:spacing w:after="0" w:line="17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5.75% if at any time after June 23, 2010, the closing price of the company’s common stock is greater than or equal to $8.50 per share for a period of 20 consecutive trading days.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also may participate in dividends on common stock, if declared. However, if the closing price of the common stock on the record date for a dividend payment is less than $45.00 per share, the company may not declare or pay a cash dividend on the common stock per share for any fiscal quarter in excess of the Preferred Stock dividend amounts.</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of directors approved cash dividends on the Preferred Stock for each of the quarterly periods of 2010 and the first three quarters of 2011. Dividends were accrued and paid in-kind for the quarterly periods of 2009 and the fourth quarter of 2011. The stated-rate amounts of those in-kind dividends were added to the liquidation preference of the respective Series A and Series B Preferred Stock. For accounting purposes, the dividends were measured at fair value using a binomial simulation model. The significant assumptions included in the model used for the fourth quarter 2011 dividend included stock price volatility of approximately 70%, a risk free interest rate of 1.49%, the conversion and interest reset provisions in the preferred stock agreements and future expectations about the payment of dividends in-kind. This technique resulted in a fair value estimate of approximately $7.7 million, $1.6 million below the increase in liquidation preference for the fourth quarter 2011 dividend. The fair value estimates for the 2009 dividends paid in-kind exceeded the liquidation preference amounts. With an aggregate of Series A and Series B of 350,000 shares, reported dividends calculated on a per share basis were $102.01, $106.04, and $87.16, for 2011, 2010, and 2009, respectively. The liquidation preference value of the Preferred Stock was $377.7 million, $368.5 million and $356.0 million at December 31, 2011, December 25, 2010, and December 26, 2009, respectively.</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Preferred Stock is redeemable, in whole or in part, at the option of the company at any time after June 23, 2012, subject to the right of the holder to first convert the preferred stock the company proposes to redeem. The redemption price is initially 107% of the liquidation preference amount plus any accrued but unpaid dividends and decreases by 1% each year until reaching 100% after June 23, 2019. At any time after June 23, 2011, if the closing price of the common stock is greater than or equal to $9.75 per share for a period of 20 consecutive trading days, the Preferred Stock is redeemable at 100% of the liquidation preference amount plus any accrued but unpaid dividends, in whole or in part, at the option of the company, subject to the right of the holder to first convert the Preferred Stock the company proposes to redeem. The Preferred Stock is redeemable at the option of the holder at 101% of the liquidation preference in the event of certain fundamental change provisions (as defined in the Certificate of Designations for each series), including sale, bankruptcy or delisting of our common stock.</w:t>
      </w:r>
    </w:p>
    <w:p>
      <w:pPr>
        <w:spacing w:after="0" w:line="1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connection with the transaction, the company entered into an Investor Rights Agreement. Subject to certain exceptions, for so long as the Investors’ ownership percentage is equal to or greater than 10%, the approval of at least one of the directors designated to the company’s board of directors by the Investors is required for the company to incur any indebtedness for borrowed money in excess of $200 million in the aggregate during any fiscal year. In addition, at the current ownership percentage level, the Investors are entitled to nominate up to three members of the board of directors. Declining ownership percentages reduce the Investors’ board representation rights. Three directors designated by the Investors are current members of the company’s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there were 1,000,000 shares of $0.01 par value preferred stock authorized of which none were issued or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2011, there were 5.9 million treasury shares held. Additional common stock repurchases are currently prohibited under our asset based credit facility and, in certain circumstances, require prior approval under our Preferred Stock agreements.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net earnings (loss) per common share — basic and diluted: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200" w:type="dxa"/>
            <w:vAlign w:val="bottom"/>
          </w:tcPr>
          <w:p>
            <w:pPr>
              <w:spacing w:after="0"/>
              <w:rPr>
                <w:sz w:val="14"/>
                <w:szCs w:val="14"/>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Numerator:</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common shareholders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59,989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2"/>
              </w:rPr>
              <w:t>(81,736)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(626,971)</w:t>
            </w:r>
          </w:p>
        </w:tc>
        <w:tc>
          <w:tcPr>
            <w:tcW w:w="0" w:type="dxa"/>
            <w:vAlign w:val="bottom"/>
          </w:tcPr>
          <w:p>
            <w:pPr>
              <w:spacing w:after="0"/>
              <w:rPr>
                <w:sz w:val="1"/>
                <w:szCs w:val="1"/>
                <w:color w:val="auto"/>
              </w:rPr>
            </w:pPr>
          </w:p>
        </w:tc>
      </w:tr>
      <w:tr>
        <w:trPr>
          <w:trHeight w:val="283"/>
        </w:trPr>
        <w:tc>
          <w:tcPr>
            <w:tcW w:w="60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86"/>
              </w:rPr>
              <w:t>277,918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275,557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b w:val="1"/>
                <w:bCs w:val="1"/>
                <w:color w:val="auto"/>
              </w:rPr>
              <w:t>0.22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(0.30)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20" w:type="dxa"/>
            <w:vAlign w:val="bottom"/>
            <w:tcBorders>
              <w:top w:val="single" w:sz="8" w:color="auto"/>
            </w:tcBorders>
          </w:tcPr>
          <w:p>
            <w:pPr>
              <w:spacing w:after="0"/>
              <w:rPr>
                <w:sz w:val="6"/>
                <w:szCs w:val="6"/>
                <w:color w:val="auto"/>
              </w:rPr>
            </w:pPr>
          </w:p>
        </w:tc>
        <w:tc>
          <w:tcPr>
            <w:tcW w:w="22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Numerator:</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attributable to Office Depot, Inc.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95,694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2"/>
              </w:rPr>
              <w:t>(44,623)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(596,465)</w:t>
            </w:r>
          </w:p>
        </w:tc>
        <w:tc>
          <w:tcPr>
            <w:tcW w:w="0" w:type="dxa"/>
            <w:vAlign w:val="bottom"/>
          </w:tcPr>
          <w:p>
            <w:pPr>
              <w:spacing w:after="0"/>
              <w:rPr>
                <w:sz w:val="1"/>
                <w:szCs w:val="1"/>
                <w:color w:val="auto"/>
              </w:rPr>
            </w:pPr>
          </w:p>
        </w:tc>
      </w:tr>
      <w:tr>
        <w:trPr>
          <w:trHeight w:val="323"/>
        </w:trPr>
        <w:tc>
          <w:tcPr>
            <w:tcW w:w="60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86"/>
              </w:rPr>
              <w:t>277,918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275,557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and restricted stock</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5,176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7,060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Redeemable preferred stock</w:t>
            </w:r>
          </w:p>
        </w:tc>
        <w:tc>
          <w:tcPr>
            <w:tcW w:w="2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73,703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73,676</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outstanding</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86"/>
              </w:rPr>
              <w:t>356,797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356,293</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20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8"/>
                <w:szCs w:val="18"/>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Awards of options and nonvested shares representing an additional 13.6 million, 13.0 million and 14.7 million shares of common stock were outstanding for the years ended December 31, 2011, December 25, 2010 and December 26, 2009, respectively, but were not included in the computation of diluted weighted-average shares outstanding because their effect would have been antidilutive. Beginning in 2010, for weighted average share purposes, no tax benefits have been assumed in jurisdictions with valuation allowances. The diluted share amounts for 2011, 2010 and 2009 are provided for informational purposes, as the level of earnings (loss) for the periods causes basic earnings per share to be the most dilutive.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company’s issuance of the redeemable preferred stock in 2009, basic earnings per share is computed after consideration of preferred stock dividends. The preferred stock has certain participation rights with common stock resulting in application of the two-class method for computing earnings per share. In periods of sufficient earnings, this method assumes an allocation of undistributed earnings to both participating stock classes. The two-class method impacted the computation of earnings for the third quarter of 2011, but was not applicable to the full year 2011 because if would have been antidulitive. The preferred shareholders are not required to fund losses.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Dividends on its preferred stock for the first three quarters of 2011 were paid in cash. The dividend due in January 2012 was paid-in-kind, and totaled approximately $8 million, measured at fair value. The 2010 preferred stock dividends were paid in cash and the 2009 dividends were paid in-kind and a separate determination of fair value above the stated dividend rate was required for those periods. Should the company continue to pay dividends on preferred shares in-kind during future periods, the reported earnings per share attributable to preferred and common shareholders may be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spacing w:after="0" w:line="520" w:lineRule="auto"/>
        <w:rPr>
          <w:sz w:val="20"/>
          <w:szCs w:val="20"/>
          <w:color w:val="auto"/>
        </w:rPr>
      </w:pPr>
      <w:r>
        <w:rPr>
          <w:rFonts w:ascii="Arial" w:cs="Arial" w:eastAsia="Arial" w:hAnsi="Arial"/>
          <w:sz w:val="16"/>
          <w:szCs w:val="16"/>
          <w:b w:val="1"/>
          <w:bCs w:val="1"/>
          <w:color w:val="auto"/>
        </w:rPr>
        <w:t xml:space="preserve">NOTE N — SUPPLEMENTAL INFORMATION ON OPERATING, INVESTING AND FINANCING ACTIVITIES </w:t>
      </w:r>
      <w:r>
        <w:rPr>
          <w:rFonts w:ascii="Arial" w:cs="Arial" w:eastAsia="Arial" w:hAnsi="Arial"/>
          <w:sz w:val="16"/>
          <w:szCs w:val="16"/>
          <w:color w:val="auto"/>
        </w:rPr>
        <w:t>Additional supplemental information related to the Consolidated Statements of Cash Flows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4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2010</w:t>
            </w: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2009</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paid (net of amounts capitalized)</w:t>
            </w:r>
          </w:p>
        </w:tc>
        <w:tc>
          <w:tcPr>
            <w:tcW w:w="3420" w:type="dxa"/>
            <w:vAlign w:val="bottom"/>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$54,833</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$ 62,352</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$ 52,631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taxes paid (refunded)</w:t>
            </w:r>
          </w:p>
        </w:tc>
        <w:tc>
          <w:tcPr>
            <w:tcW w:w="3420" w:type="dxa"/>
            <w:vAlign w:val="bottom"/>
          </w:tcPr>
          <w:p>
            <w:pPr>
              <w:jc w:val="right"/>
              <w:ind w:right="156"/>
              <w:spacing w:after="0"/>
              <w:rPr>
                <w:sz w:val="20"/>
                <w:szCs w:val="20"/>
                <w:color w:val="auto"/>
              </w:rPr>
            </w:pPr>
            <w:r>
              <w:rPr>
                <w:rFonts w:ascii="Arial" w:cs="Arial" w:eastAsia="Arial" w:hAnsi="Arial"/>
                <w:sz w:val="18"/>
                <w:szCs w:val="18"/>
                <w:b w:val="1"/>
                <w:bCs w:val="1"/>
                <w:color w:val="auto"/>
              </w:rPr>
              <w:t>(3,317)</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(54,459)</w:t>
            </w:r>
          </w:p>
        </w:tc>
        <w:tc>
          <w:tcPr>
            <w:tcW w:w="1000" w:type="dxa"/>
            <w:vAlign w:val="bottom"/>
          </w:tcPr>
          <w:p>
            <w:pPr>
              <w:jc w:val="right"/>
              <w:spacing w:after="0"/>
              <w:rPr>
                <w:sz w:val="20"/>
                <w:szCs w:val="20"/>
                <w:color w:val="auto"/>
              </w:rPr>
            </w:pPr>
            <w:r>
              <w:rPr>
                <w:rFonts w:ascii="Arial" w:cs="Arial" w:eastAsia="Arial" w:hAnsi="Arial"/>
                <w:sz w:val="18"/>
                <w:szCs w:val="18"/>
                <w:color w:val="auto"/>
              </w:rPr>
              <w:t>(28,320)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Non-cash asset additions under capital leases</w:t>
            </w:r>
          </w:p>
        </w:tc>
        <w:tc>
          <w:tcPr>
            <w:tcW w:w="3420" w:type="dxa"/>
            <w:vAlign w:val="bottom"/>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10,025</w:t>
            </w:r>
          </w:p>
        </w:tc>
        <w:tc>
          <w:tcPr>
            <w:tcW w:w="11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13,251</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1,813</w:t>
            </w:r>
          </w:p>
        </w:tc>
      </w:tr>
      <w:tr>
        <w:trPr>
          <w:trHeight w:val="228"/>
        </w:trPr>
        <w:tc>
          <w:tcPr>
            <w:tcW w:w="5820" w:type="dxa"/>
            <w:vAlign w:val="bottom"/>
          </w:tcPr>
          <w:p>
            <w:pPr>
              <w:spacing w:after="0"/>
              <w:rPr>
                <w:sz w:val="20"/>
                <w:szCs w:val="20"/>
                <w:color w:val="auto"/>
              </w:rPr>
            </w:pPr>
            <w:r>
              <w:rPr>
                <w:rFonts w:ascii="Arial" w:cs="Arial" w:eastAsia="Arial" w:hAnsi="Arial"/>
                <w:sz w:val="18"/>
                <w:szCs w:val="18"/>
                <w:color w:val="auto"/>
              </w:rPr>
              <w:t>Non-cash paid-in-kind dividends (see Note K)</w:t>
            </w:r>
          </w:p>
        </w:tc>
        <w:tc>
          <w:tcPr>
            <w:tcW w:w="3420" w:type="dxa"/>
            <w:vAlign w:val="bottom"/>
          </w:tcPr>
          <w:p>
            <w:pPr>
              <w:jc w:val="right"/>
              <w:ind w:right="216"/>
              <w:spacing w:after="0"/>
              <w:rPr>
                <w:sz w:val="20"/>
                <w:szCs w:val="20"/>
                <w:color w:val="auto"/>
              </w:rPr>
            </w:pPr>
            <w:r>
              <w:rPr>
                <w:rFonts w:ascii="Arial" w:cs="Arial" w:eastAsia="Arial" w:hAnsi="Arial"/>
                <w:sz w:val="18"/>
                <w:szCs w:val="18"/>
                <w:b w:val="1"/>
                <w:bCs w:val="1"/>
                <w:color w:val="auto"/>
              </w:rPr>
              <w:t>7,656</w:t>
            </w:r>
          </w:p>
        </w:tc>
        <w:tc>
          <w:tcPr>
            <w:tcW w:w="11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30,506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SEGMENT INFORMATION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Office Depot operates in three segments: North American Retail Division, North American Business Solutions Division, and International Division. Each of these segments is managed separately primarily because it serves a different customer group. The accounting policies for each segment are the same as those described in the summary of significant accounting policies (see Note A). Our measure of Division operating profit is based on the measure of performance reported internally to manage the business and for resource allocation. This measure allocates to the respective Divisions those general and administrative expenses considered directly or closely related to their operations. Remaining G&amp;A expenses and Charges that are managed at the corporate level are not allocated to the Divisions for measurement of Division operating profit. See Note B for discussion of Charges. Other companies may charge more or less of these items to their segments and our results may not be comparable to similarly titled measures used by other entities.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accounts and balances by segment, reconciled to our consolidated totals.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right="216"/>
              <w:spacing w:after="0"/>
              <w:rPr>
                <w:sz w:val="20"/>
                <w:szCs w:val="20"/>
                <w:color w:val="auto"/>
              </w:rPr>
            </w:pPr>
            <w:r>
              <w:rPr>
                <w:rFonts w:ascii="Arial" w:cs="Arial" w:eastAsia="Arial" w:hAnsi="Arial"/>
                <w:sz w:val="14"/>
                <w:szCs w:val="14"/>
                <w:color w:val="auto"/>
                <w:w w:val="87"/>
              </w:rPr>
              <w:t>North</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3"/>
              </w:rPr>
              <w:t>North</w:t>
            </w:r>
          </w:p>
        </w:tc>
        <w:tc>
          <w:tcPr>
            <w:tcW w:w="300" w:type="dxa"/>
            <w:vAlign w:val="bottom"/>
          </w:tcPr>
          <w:p>
            <w:pPr>
              <w:spacing w:after="0"/>
              <w:rPr>
                <w:sz w:val="12"/>
                <w:szCs w:val="12"/>
                <w:color w:val="auto"/>
              </w:rPr>
            </w:pPr>
          </w:p>
        </w:tc>
        <w:tc>
          <w:tcPr>
            <w:tcW w:w="9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1"/>
              </w:rPr>
              <w:t>American</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87"/>
              </w:rPr>
              <w:t>American</w:t>
            </w:r>
          </w:p>
        </w:tc>
        <w:tc>
          <w:tcPr>
            <w:tcW w:w="300" w:type="dxa"/>
            <w:vAlign w:val="bottom"/>
          </w:tcPr>
          <w:p>
            <w:pPr>
              <w:spacing w:after="0"/>
              <w:rPr>
                <w:sz w:val="12"/>
                <w:szCs w:val="12"/>
                <w:color w:val="auto"/>
              </w:rPr>
            </w:pPr>
          </w:p>
        </w:tc>
        <w:tc>
          <w:tcPr>
            <w:tcW w:w="96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84"/>
              </w:rPr>
              <w:t>Business</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89"/>
              </w:rPr>
              <w:t>Retail</w:t>
            </w:r>
          </w:p>
        </w:tc>
        <w:tc>
          <w:tcPr>
            <w:tcW w:w="300" w:type="dxa"/>
            <w:vAlign w:val="bottom"/>
          </w:tcPr>
          <w:p>
            <w:pPr>
              <w:spacing w:after="0"/>
              <w:rPr>
                <w:sz w:val="12"/>
                <w:szCs w:val="12"/>
                <w:color w:val="auto"/>
              </w:rPr>
            </w:pPr>
          </w:p>
        </w:tc>
        <w:tc>
          <w:tcPr>
            <w:tcW w:w="9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86"/>
              </w:rPr>
              <w:t>Solutions</w:t>
            </w:r>
          </w:p>
        </w:tc>
        <w:tc>
          <w:tcPr>
            <w:tcW w:w="260" w:type="dxa"/>
            <w:vAlign w:val="bottom"/>
          </w:tcPr>
          <w:p>
            <w:pPr>
              <w:spacing w:after="0"/>
              <w:rPr>
                <w:sz w:val="12"/>
                <w:szCs w:val="12"/>
                <w:color w:val="auto"/>
              </w:rPr>
            </w:pPr>
          </w:p>
        </w:tc>
        <w:tc>
          <w:tcPr>
            <w:tcW w:w="100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90"/>
              </w:rPr>
              <w:t>International</w:t>
            </w:r>
          </w:p>
        </w:tc>
        <w:tc>
          <w:tcPr>
            <w:tcW w:w="11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Eliminations</w:t>
            </w:r>
          </w:p>
        </w:tc>
        <w:tc>
          <w:tcPr>
            <w:tcW w:w="3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Consolidated</w:t>
            </w:r>
          </w:p>
        </w:tc>
      </w:tr>
      <w:tr>
        <w:trPr>
          <w:trHeight w:val="159"/>
        </w:trPr>
        <w:tc>
          <w:tcPr>
            <w:tcW w:w="434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center"/>
              <w:ind w:right="216"/>
              <w:spacing w:after="0" w:line="159" w:lineRule="exact"/>
              <w:rPr>
                <w:sz w:val="20"/>
                <w:szCs w:val="20"/>
                <w:color w:val="auto"/>
              </w:rPr>
            </w:pPr>
            <w:r>
              <w:rPr>
                <w:rFonts w:ascii="Arial" w:cs="Arial" w:eastAsia="Arial" w:hAnsi="Arial"/>
                <w:sz w:val="14"/>
                <w:szCs w:val="14"/>
                <w:color w:val="auto"/>
                <w:w w:val="97"/>
              </w:rPr>
              <w:t>Division</w:t>
            </w:r>
          </w:p>
        </w:tc>
        <w:tc>
          <w:tcPr>
            <w:tcW w:w="300" w:type="dxa"/>
            <w:vAlign w:val="bottom"/>
          </w:tcPr>
          <w:p>
            <w:pPr>
              <w:spacing w:after="0"/>
              <w:rPr>
                <w:sz w:val="13"/>
                <w:szCs w:val="13"/>
                <w:color w:val="auto"/>
              </w:rPr>
            </w:pPr>
          </w:p>
        </w:tc>
        <w:tc>
          <w:tcPr>
            <w:tcW w:w="960" w:type="dxa"/>
            <w:vAlign w:val="bottom"/>
          </w:tcPr>
          <w:p>
            <w:pPr>
              <w:jc w:val="center"/>
              <w:ind w:right="216"/>
              <w:spacing w:after="0" w:line="159" w:lineRule="exact"/>
              <w:rPr>
                <w:sz w:val="20"/>
                <w:szCs w:val="20"/>
                <w:color w:val="auto"/>
              </w:rPr>
            </w:pPr>
            <w:r>
              <w:rPr>
                <w:rFonts w:ascii="Arial" w:cs="Arial" w:eastAsia="Arial" w:hAnsi="Arial"/>
                <w:sz w:val="14"/>
                <w:szCs w:val="14"/>
                <w:color w:val="auto"/>
                <w:w w:val="93"/>
              </w:rPr>
              <w:t>Division</w:t>
            </w:r>
          </w:p>
        </w:tc>
        <w:tc>
          <w:tcPr>
            <w:tcW w:w="260" w:type="dxa"/>
            <w:vAlign w:val="bottom"/>
          </w:tcPr>
          <w:p>
            <w:pPr>
              <w:spacing w:after="0"/>
              <w:rPr>
                <w:sz w:val="13"/>
                <w:szCs w:val="13"/>
                <w:color w:val="auto"/>
              </w:rPr>
            </w:pPr>
          </w:p>
        </w:tc>
        <w:tc>
          <w:tcPr>
            <w:tcW w:w="1000" w:type="dxa"/>
            <w:vAlign w:val="bottom"/>
          </w:tcPr>
          <w:p>
            <w:pPr>
              <w:jc w:val="right"/>
              <w:ind w:right="314"/>
              <w:spacing w:after="0" w:line="159" w:lineRule="exact"/>
              <w:rPr>
                <w:sz w:val="20"/>
                <w:szCs w:val="20"/>
                <w:color w:val="auto"/>
              </w:rPr>
            </w:pPr>
            <w:r>
              <w:rPr>
                <w:rFonts w:ascii="Arial" w:cs="Arial" w:eastAsia="Arial" w:hAnsi="Arial"/>
                <w:sz w:val="14"/>
                <w:szCs w:val="14"/>
                <w:color w:val="auto"/>
              </w:rPr>
              <w:t>Division</w:t>
            </w:r>
          </w:p>
        </w:tc>
        <w:tc>
          <w:tcPr>
            <w:tcW w:w="260" w:type="dxa"/>
            <w:vAlign w:val="bottom"/>
          </w:tcPr>
          <w:p>
            <w:pPr>
              <w:spacing w:after="0"/>
              <w:rPr>
                <w:sz w:val="13"/>
                <w:szCs w:val="13"/>
                <w:color w:val="auto"/>
              </w:rPr>
            </w:pPr>
          </w:p>
        </w:tc>
        <w:tc>
          <w:tcPr>
            <w:tcW w:w="880" w:type="dxa"/>
            <w:vAlign w:val="bottom"/>
          </w:tcPr>
          <w:p>
            <w:pPr>
              <w:jc w:val="right"/>
              <w:ind w:right="173"/>
              <w:spacing w:after="0" w:line="159" w:lineRule="exact"/>
              <w:rPr>
                <w:sz w:val="20"/>
                <w:szCs w:val="20"/>
                <w:color w:val="auto"/>
              </w:rPr>
            </w:pPr>
            <w:r>
              <w:rPr>
                <w:rFonts w:ascii="Arial" w:cs="Arial" w:eastAsia="Arial" w:hAnsi="Arial"/>
                <w:sz w:val="14"/>
                <w:szCs w:val="14"/>
                <w:color w:val="auto"/>
                <w:w w:val="88"/>
              </w:rPr>
              <w:t>and Other*</w:t>
            </w:r>
          </w:p>
        </w:tc>
        <w:tc>
          <w:tcPr>
            <w:tcW w:w="30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3"/>
              </w:rPr>
              <w:t>Total</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8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4"/>
              </w:rPr>
              <w:t>4,870,166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7"/>
              </w:rPr>
              <w:t>3,261,953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3,357,414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11,489,533</w:t>
            </w:r>
          </w:p>
        </w:tc>
        <w:tc>
          <w:tcPr>
            <w:tcW w:w="1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4,962,838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7"/>
              </w:rPr>
              <w:t>3,290,430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3,379,826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11,633,094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4"/>
              </w:rPr>
              <w:t>5,113,553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7"/>
              </w:rPr>
              <w:t>3,483,724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3,547,190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12,144,467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340" w:type="dxa"/>
            <w:vAlign w:val="bottom"/>
            <w:gridSpan w:val="3"/>
          </w:tcPr>
          <w:p>
            <w:pPr>
              <w:spacing w:after="0" w:line="201" w:lineRule="exact"/>
              <w:rPr>
                <w:sz w:val="20"/>
                <w:szCs w:val="20"/>
                <w:color w:val="auto"/>
              </w:rPr>
            </w:pPr>
            <w:r>
              <w:rPr>
                <w:rFonts w:ascii="Arial" w:cs="Arial" w:eastAsia="Arial" w:hAnsi="Arial"/>
                <w:sz w:val="18"/>
                <w:szCs w:val="18"/>
                <w:color w:val="auto"/>
              </w:rPr>
              <w:t>Division operating profit (loss)</w:t>
            </w:r>
          </w:p>
        </w:tc>
        <w:tc>
          <w:tcPr>
            <w:tcW w:w="840" w:type="dxa"/>
            <w:vAlign w:val="bottom"/>
          </w:tcPr>
          <w:p>
            <w:pPr>
              <w:jc w:val="right"/>
              <w:ind w:right="72"/>
              <w:spacing w:after="0" w:line="201"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6"/>
              <w:spacing w:after="0" w:line="201" w:lineRule="exact"/>
              <w:rPr>
                <w:sz w:val="20"/>
                <w:szCs w:val="20"/>
                <w:color w:val="auto"/>
              </w:rPr>
            </w:pPr>
            <w:r>
              <w:rPr>
                <w:rFonts w:ascii="Arial" w:cs="Arial" w:eastAsia="Arial" w:hAnsi="Arial"/>
                <w:sz w:val="18"/>
                <w:szCs w:val="18"/>
                <w:b w:val="1"/>
                <w:bCs w:val="1"/>
                <w:color w:val="auto"/>
              </w:rPr>
              <w:t>134,794</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6"/>
              <w:spacing w:after="0" w:line="201" w:lineRule="exact"/>
              <w:rPr>
                <w:sz w:val="20"/>
                <w:szCs w:val="20"/>
                <w:color w:val="auto"/>
              </w:rPr>
            </w:pPr>
            <w:r>
              <w:rPr>
                <w:rFonts w:ascii="Arial" w:cs="Arial" w:eastAsia="Arial" w:hAnsi="Arial"/>
                <w:sz w:val="18"/>
                <w:szCs w:val="18"/>
                <w:b w:val="1"/>
                <w:bCs w:val="1"/>
                <w:color w:val="auto"/>
              </w:rPr>
              <w:t>145,096</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line="201" w:lineRule="exact"/>
              <w:rPr>
                <w:sz w:val="20"/>
                <w:szCs w:val="20"/>
                <w:color w:val="auto"/>
              </w:rPr>
            </w:pPr>
            <w:r>
              <w:rPr>
                <w:rFonts w:ascii="Arial" w:cs="Arial" w:eastAsia="Arial" w:hAnsi="Arial"/>
                <w:sz w:val="18"/>
                <w:szCs w:val="18"/>
                <w:b w:val="1"/>
                <w:bCs w:val="1"/>
                <w:color w:val="auto"/>
              </w:rPr>
              <w:t>92,895</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53"/>
              <w:spacing w:after="0" w:line="201"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372,785</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127,504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96,474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110,781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334,759</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105,542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98,163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119,604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323,309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62,699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22,690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26,356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18,572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67,172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38,588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27,637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36,055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40,600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21,145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20,281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48,821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130,847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340" w:type="dxa"/>
            <w:vAlign w:val="bottom"/>
            <w:gridSpan w:val="3"/>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ind w:right="72"/>
              <w:spacing w:after="0" w:line="201"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6"/>
              <w:spacing w:after="0" w:line="201" w:lineRule="exact"/>
              <w:rPr>
                <w:sz w:val="20"/>
                <w:szCs w:val="20"/>
                <w:color w:val="auto"/>
              </w:rPr>
            </w:pPr>
            <w:r>
              <w:rPr>
                <w:rFonts w:ascii="Arial" w:cs="Arial" w:eastAsia="Arial" w:hAnsi="Arial"/>
                <w:sz w:val="18"/>
                <w:szCs w:val="18"/>
                <w:b w:val="1"/>
                <w:bCs w:val="1"/>
                <w:color w:val="auto"/>
              </w:rPr>
              <w:t>89,839</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6"/>
              <w:spacing w:after="0" w:line="201" w:lineRule="exact"/>
              <w:rPr>
                <w:sz w:val="20"/>
                <w:szCs w:val="20"/>
                <w:color w:val="auto"/>
              </w:rPr>
            </w:pPr>
            <w:r>
              <w:rPr>
                <w:rFonts w:ascii="Arial" w:cs="Arial" w:eastAsia="Arial" w:hAnsi="Arial"/>
                <w:sz w:val="18"/>
                <w:szCs w:val="18"/>
                <w:b w:val="1"/>
                <w:bCs w:val="1"/>
                <w:color w:val="auto"/>
              </w:rPr>
              <w:t>14,518</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line="201" w:lineRule="exact"/>
              <w:rPr>
                <w:sz w:val="20"/>
                <w:szCs w:val="20"/>
                <w:color w:val="auto"/>
              </w:rPr>
            </w:pPr>
            <w:r>
              <w:rPr>
                <w:rFonts w:ascii="Arial" w:cs="Arial" w:eastAsia="Arial" w:hAnsi="Arial"/>
                <w:sz w:val="18"/>
                <w:szCs w:val="18"/>
                <w:b w:val="1"/>
                <w:bCs w:val="1"/>
                <w:color w:val="auto"/>
              </w:rPr>
              <w:t>22,102</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3"/>
              <w:spacing w:after="0" w:line="201" w:lineRule="exact"/>
              <w:rPr>
                <w:sz w:val="20"/>
                <w:szCs w:val="20"/>
                <w:color w:val="auto"/>
              </w:rPr>
            </w:pPr>
            <w:r>
              <w:rPr>
                <w:rFonts w:ascii="Arial" w:cs="Arial" w:eastAsia="Arial" w:hAnsi="Arial"/>
                <w:sz w:val="18"/>
                <w:szCs w:val="18"/>
                <w:b w:val="1"/>
                <w:bCs w:val="1"/>
                <w:color w:val="auto"/>
              </w:rPr>
              <w:t>84,951</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211,410</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86,657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15,005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24,712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81,945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208,319</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90,973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15,471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29,032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88,639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for losses on receivables and inventories</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31,274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6,578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18,348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37,681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8,463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11,680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41,740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16,932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21,506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4340" w:type="dxa"/>
            <w:vAlign w:val="bottom"/>
            <w:gridSpan w:val="3"/>
          </w:tcPr>
          <w:p>
            <w:pPr>
              <w:spacing w:after="0" w:line="201" w:lineRule="exact"/>
              <w:rPr>
                <w:sz w:val="20"/>
                <w:szCs w:val="20"/>
                <w:color w:val="auto"/>
              </w:rPr>
            </w:pPr>
            <w:r>
              <w:rPr>
                <w:rFonts w:ascii="Arial" w:cs="Arial" w:eastAsia="Arial" w:hAnsi="Arial"/>
                <w:sz w:val="18"/>
                <w:szCs w:val="18"/>
                <w:color w:val="auto"/>
              </w:rPr>
              <w:t>Net earnings from equity method investments</w:t>
            </w:r>
          </w:p>
        </w:tc>
        <w:tc>
          <w:tcPr>
            <w:tcW w:w="840" w:type="dxa"/>
            <w:vAlign w:val="bottom"/>
          </w:tcPr>
          <w:p>
            <w:pPr>
              <w:jc w:val="right"/>
              <w:ind w:right="72"/>
              <w:spacing w:after="0" w:line="201" w:lineRule="exact"/>
              <w:rPr>
                <w:sz w:val="20"/>
                <w:szCs w:val="20"/>
                <w:color w:val="auto"/>
              </w:rPr>
            </w:pPr>
            <w:r>
              <w:rPr>
                <w:rFonts w:ascii="Arial" w:cs="Arial" w:eastAsia="Arial" w:hAnsi="Arial"/>
                <w:sz w:val="18"/>
                <w:szCs w:val="18"/>
                <w:b w:val="1"/>
                <w:bCs w:val="1"/>
                <w:color w:val="auto"/>
              </w:rPr>
              <w:t>2011</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6"/>
              <w:spacing w:after="0" w:line="201"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6"/>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line="201" w:lineRule="exact"/>
              <w:rPr>
                <w:sz w:val="20"/>
                <w:szCs w:val="20"/>
                <w:color w:val="auto"/>
              </w:rPr>
            </w:pPr>
            <w:r>
              <w:rPr>
                <w:rFonts w:ascii="Arial" w:cs="Arial" w:eastAsia="Arial" w:hAnsi="Arial"/>
                <w:sz w:val="18"/>
                <w:szCs w:val="18"/>
                <w:b w:val="1"/>
                <w:bCs w:val="1"/>
                <w:color w:val="auto"/>
              </w:rPr>
              <w:t>31,426</w:t>
            </w: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53"/>
              <w:spacing w:after="0" w:line="201"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31,426</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30,635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30,635</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30,579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4"/>
              </w:rPr>
              <w:t>1,434,844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586,404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1,373,108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856,628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4,250,984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2010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4"/>
              </w:rPr>
              <w:t>1,604,274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663,049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1,425,855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876,259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4,569,437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included in “Eliminations and Other” consist of assets (including all cash and equivalents) and depreciation related to corporate activities.</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measure of Division operating profit to consolidated earnings from continuing operations before income taxes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Division operating profit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15"/>
              <w:spacing w:after="0"/>
              <w:rPr>
                <w:sz w:val="20"/>
                <w:szCs w:val="20"/>
                <w:color w:val="auto"/>
              </w:rPr>
            </w:pPr>
            <w:r>
              <w:rPr>
                <w:rFonts w:ascii="Arial" w:cs="Arial" w:eastAsia="Arial" w:hAnsi="Arial"/>
                <w:sz w:val="18"/>
                <w:szCs w:val="18"/>
                <w:b w:val="1"/>
                <w:bCs w:val="1"/>
                <w:color w:val="auto"/>
                <w:w w:val="92"/>
              </w:rPr>
              <w:t>372,785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5"/>
              </w:rPr>
              <w:t>334,759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$ 323,309</w:t>
            </w:r>
          </w:p>
        </w:tc>
        <w:tc>
          <w:tcPr>
            <w:tcW w:w="3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Add/(subtract):</w:t>
            </w: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Charges and impairments, including Charges in 2009 (see Note B)</w:t>
            </w: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18"/>
                <w:szCs w:val="18"/>
                <w:b w:val="1"/>
                <w:bCs w:val="1"/>
                <w:color w:val="auto"/>
                <w:w w:val="98"/>
              </w:rPr>
              <w:t>(14,919)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8"/>
              </w:rPr>
              <w:t>(63,934)</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(253,383)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Unallocated general, administrative and corporate expenses</w:t>
            </w:r>
          </w:p>
        </w:tc>
        <w:tc>
          <w:tcPr>
            <w:tcW w:w="10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b w:val="1"/>
                <w:bCs w:val="1"/>
                <w:color w:val="auto"/>
                <w:w w:val="85"/>
              </w:rPr>
              <w:t>(324,112)</w:t>
            </w:r>
          </w:p>
        </w:tc>
        <w:tc>
          <w:tcPr>
            <w:tcW w:w="440" w:type="dxa"/>
            <w:vAlign w:val="bottom"/>
          </w:tcPr>
          <w:p>
            <w:pPr>
              <w:spacing w:after="0"/>
              <w:rPr>
                <w:sz w:val="18"/>
                <w:szCs w:val="18"/>
                <w:color w:val="auto"/>
              </w:rPr>
            </w:pPr>
          </w:p>
        </w:tc>
        <w:tc>
          <w:tcPr>
            <w:tcW w:w="1040" w:type="dxa"/>
            <w:vAlign w:val="bottom"/>
          </w:tcPr>
          <w:p>
            <w:pPr>
              <w:jc w:val="right"/>
              <w:ind w:right="275"/>
              <w:spacing w:after="0"/>
              <w:rPr>
                <w:sz w:val="20"/>
                <w:szCs w:val="20"/>
                <w:color w:val="auto"/>
              </w:rPr>
            </w:pPr>
            <w:r>
              <w:rPr>
                <w:rFonts w:ascii="Arial" w:cs="Arial" w:eastAsia="Arial" w:hAnsi="Arial"/>
                <w:sz w:val="18"/>
                <w:szCs w:val="18"/>
                <w:color w:val="auto"/>
                <w:w w:val="85"/>
              </w:rPr>
              <w:t>(308,116)</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(334,931)</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5"/>
              <w:spacing w:after="0"/>
              <w:rPr>
                <w:sz w:val="20"/>
                <w:szCs w:val="20"/>
                <w:color w:val="auto"/>
              </w:rPr>
            </w:pPr>
            <w:r>
              <w:rPr>
                <w:rFonts w:ascii="Arial" w:cs="Arial" w:eastAsia="Arial" w:hAnsi="Arial"/>
                <w:sz w:val="18"/>
                <w:szCs w:val="18"/>
                <w:b w:val="1"/>
                <w:bCs w:val="1"/>
                <w:color w:val="auto"/>
                <w:w w:val="98"/>
              </w:rPr>
              <w:t>(33,223)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8"/>
              </w:rPr>
              <w:t>(58,498)</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(65,628)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8"/>
                <w:szCs w:val="18"/>
                <w:b w:val="1"/>
                <w:bCs w:val="1"/>
                <w:color w:val="auto"/>
              </w:rPr>
              <w:t>1,231</w:t>
            </w:r>
          </w:p>
        </w:tc>
        <w:tc>
          <w:tcPr>
            <w:tcW w:w="440" w:type="dxa"/>
            <w:vAlign w:val="bottom"/>
          </w:tcPr>
          <w:p>
            <w:pPr>
              <w:spacing w:after="0"/>
              <w:rPr>
                <w:sz w:val="18"/>
                <w:szCs w:val="18"/>
                <w:color w:val="auto"/>
              </w:rPr>
            </w:pPr>
          </w:p>
        </w:tc>
        <w:tc>
          <w:tcPr>
            <w:tcW w:w="1040" w:type="dxa"/>
            <w:vAlign w:val="bottom"/>
          </w:tcPr>
          <w:p>
            <w:pPr>
              <w:jc w:val="right"/>
              <w:ind w:right="315"/>
              <w:spacing w:after="0"/>
              <w:rPr>
                <w:sz w:val="20"/>
                <w:szCs w:val="20"/>
                <w:color w:val="auto"/>
              </w:rPr>
            </w:pPr>
            <w:r>
              <w:rPr>
                <w:rFonts w:ascii="Arial" w:cs="Arial" w:eastAsia="Arial" w:hAnsi="Arial"/>
                <w:sz w:val="18"/>
                <w:szCs w:val="18"/>
                <w:color w:val="auto"/>
              </w:rPr>
              <w:t>4,663</w:t>
            </w:r>
          </w:p>
        </w:tc>
        <w:tc>
          <w:tcPr>
            <w:tcW w:w="1060" w:type="dxa"/>
            <w:vAlign w:val="bottom"/>
          </w:tcPr>
          <w:p>
            <w:pPr>
              <w:jc w:val="right"/>
              <w:spacing w:after="0"/>
              <w:rPr>
                <w:sz w:val="20"/>
                <w:szCs w:val="20"/>
                <w:color w:val="auto"/>
              </w:rPr>
            </w:pPr>
            <w:r>
              <w:rPr>
                <w:rFonts w:ascii="Arial" w:cs="Arial" w:eastAsia="Arial" w:hAnsi="Arial"/>
                <w:sz w:val="18"/>
                <w:szCs w:val="18"/>
                <w:color w:val="auto"/>
              </w:rPr>
              <w:t>2,396</w:t>
            </w:r>
          </w:p>
        </w:tc>
        <w:tc>
          <w:tcPr>
            <w:tcW w:w="380" w:type="dxa"/>
            <w:vAlign w:val="bottom"/>
          </w:tcPr>
          <w:p>
            <w:pPr>
              <w:spacing w:after="0"/>
              <w:rPr>
                <w:sz w:val="18"/>
                <w:szCs w:val="18"/>
                <w:color w:val="auto"/>
              </w:rPr>
            </w:pP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10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b w:val="1"/>
                <w:bCs w:val="1"/>
                <w:color w:val="auto"/>
              </w:rPr>
              <w:t>30,857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34,451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38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15"/>
              <w:spacing w:after="0"/>
              <w:rPr>
                <w:sz w:val="20"/>
                <w:szCs w:val="20"/>
                <w:color w:val="auto"/>
              </w:rPr>
            </w:pPr>
            <w:r>
              <w:rPr>
                <w:rFonts w:ascii="Arial" w:cs="Arial" w:eastAsia="Arial" w:hAnsi="Arial"/>
                <w:sz w:val="18"/>
                <w:szCs w:val="18"/>
                <w:b w:val="1"/>
                <w:bCs w:val="1"/>
                <w:color w:val="auto"/>
              </w:rPr>
              <w:t>32,619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5"/>
              <w:spacing w:after="0"/>
              <w:rPr>
                <w:sz w:val="20"/>
                <w:szCs w:val="20"/>
                <w:color w:val="auto"/>
              </w:rPr>
            </w:pPr>
            <w:r>
              <w:rPr>
                <w:rFonts w:ascii="Arial" w:cs="Arial" w:eastAsia="Arial" w:hAnsi="Arial"/>
                <w:sz w:val="18"/>
                <w:szCs w:val="18"/>
                <w:color w:val="auto"/>
                <w:w w:val="98"/>
              </w:rPr>
              <w:t>(56,675)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 (311,152)</w:t>
            </w: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we sold to customers throughout North America, Europe, Asia and Latin America. We operate through wholly-owned and majority-owned entities and participate in other ventures and alliances. There is no single country outside of the United States in which we generate 10% or more of our total revenues. Geographic financial information relating to our business is as follows (in thousands).</w:t>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Sales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8,108,402</w:t>
            </w:r>
          </w:p>
        </w:tc>
        <w:tc>
          <w:tcPr>
            <w:tcW w:w="32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8,189,642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ind w:right="32"/>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8,476,404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3,381,131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3,443,452</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3,668,063</w:t>
            </w:r>
          </w:p>
        </w:tc>
        <w:tc>
          <w:tcPr>
            <w:tcW w:w="0" w:type="dxa"/>
            <w:vAlign w:val="bottom"/>
          </w:tcPr>
          <w:p>
            <w:pPr>
              <w:spacing w:after="0"/>
              <w:rPr>
                <w:sz w:val="1"/>
                <w:szCs w:val="1"/>
                <w:color w:val="auto"/>
              </w:rPr>
            </w:pPr>
          </w:p>
        </w:tc>
      </w:tr>
      <w:tr>
        <w:trPr>
          <w:trHeight w:val="224"/>
        </w:trPr>
        <w:tc>
          <w:tcPr>
            <w:tcW w:w="4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11,489,533</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7"/>
              </w:rPr>
              <w:t>11,633,094</w:t>
            </w:r>
          </w:p>
        </w:tc>
        <w:tc>
          <w:tcPr>
            <w:tcW w:w="3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12,144,467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5265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380"/>
        <w:spacing w:after="0"/>
        <w:tabs>
          <w:tab w:leader="none" w:pos="172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color w:val="auto"/>
        </w:rPr>
        <w:t>2010</w:t>
      </w:r>
    </w:p>
    <w:p>
      <w:pPr>
        <w:spacing w:after="0" w:line="1" w:lineRule="exact"/>
        <w:rPr>
          <w:sz w:val="20"/>
          <w:szCs w:val="20"/>
          <w:color w:val="auto"/>
        </w:rPr>
      </w:pPr>
    </w:p>
    <w:p>
      <w:pPr>
        <w:spacing w:after="0"/>
        <w:tabs>
          <w:tab w:leader="none" w:pos="440" w:val="left"/>
          <w:tab w:leader="none" w:pos="1340" w:val="left"/>
          <w:tab w:leader="none" w:pos="1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901,572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980,426</w:t>
      </w:r>
    </w:p>
    <w:p>
      <w:pPr>
        <w:spacing w:after="0" w:line="8" w:lineRule="exact"/>
        <w:rPr>
          <w:sz w:val="20"/>
          <w:szCs w:val="20"/>
          <w:color w:val="auto"/>
        </w:rPr>
      </w:pPr>
    </w:p>
    <w:p>
      <w:pPr>
        <w:jc w:val="both"/>
        <w:ind w:left="460"/>
        <w:spacing w:after="0"/>
        <w:tabs>
          <w:tab w:leader="none" w:pos="1820" w:val="left"/>
        </w:tabs>
        <w:rPr>
          <w:sz w:val="20"/>
          <w:szCs w:val="20"/>
          <w:color w:val="auto"/>
        </w:rPr>
      </w:pPr>
      <w:r>
        <w:rPr>
          <w:rFonts w:ascii="Arial" w:cs="Arial" w:eastAsia="Arial" w:hAnsi="Arial"/>
          <w:sz w:val="18"/>
          <w:szCs w:val="18"/>
          <w:b w:val="1"/>
          <w:bCs w:val="1"/>
          <w:color w:val="auto"/>
        </w:rPr>
        <w:t>165,468</w:t>
      </w:r>
      <w:r>
        <w:rPr>
          <w:sz w:val="20"/>
          <w:szCs w:val="20"/>
          <w:color w:val="auto"/>
        </w:rPr>
        <w:tab/>
      </w:r>
      <w:r>
        <w:rPr>
          <w:rFonts w:ascii="Arial" w:cs="Arial" w:eastAsia="Arial" w:hAnsi="Arial"/>
          <w:sz w:val="18"/>
          <w:szCs w:val="18"/>
          <w:color w:val="auto"/>
        </w:rPr>
        <w:t>176,587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5265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 w:lineRule="exact"/>
        <w:rPr>
          <w:sz w:val="20"/>
          <w:szCs w:val="20"/>
          <w:color w:val="auto"/>
        </w:rPr>
      </w:pPr>
    </w:p>
    <w:p>
      <w:pPr>
        <w:spacing w:after="0"/>
        <w:tabs>
          <w:tab w:leader="none" w:pos="300" w:val="left"/>
          <w:tab w:leader="none" w:pos="1340" w:val="left"/>
          <w:tab w:leader="none" w:pos="1680" w:val="left"/>
        </w:tabs>
        <w:rPr>
          <w:sz w:val="20"/>
          <w:szCs w:val="20"/>
          <w:color w:val="auto"/>
        </w:rPr>
      </w:pPr>
      <w:r>
        <w:rPr>
          <w:rFonts w:ascii="Arial" w:cs="Arial" w:eastAsia="Arial" w:hAnsi="Arial"/>
          <w:sz w:val="18"/>
          <w:szCs w:val="18"/>
          <w:b w:val="1"/>
          <w:bCs w:val="1"/>
          <w:u w:val="single" w:color="auto"/>
          <w:color w:val="auto"/>
        </w:rPr>
        <w:t>$</w:t>
        <w:tab/>
        <w:t>1,067,040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1,157,013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5265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120" w:space="680"/>
            <w:col w:w="2620"/>
          </w:cols>
          <w:pgMar w:left="240" w:top="459" w:right="23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We classify our products into three categories: (1) supplies, (2) technology, and (3) furniture and other. The supplies category includes products such as paper, binders, writing instruments, school supplies, and ink and toner. The technology category includes products such as desktop and laptop computers, monitors, printers, cables, software, digital cameras, telephones, and wireless communications products. The furniture and other category includes products such as desks, chairs, luggage, sales in our copy and print centers, and other miscellaneous items.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company sales by product group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auto"/>
            </w:tcBorders>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446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65.1%</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Technology</w:t>
            </w:r>
          </w:p>
        </w:tc>
        <w:tc>
          <w:tcPr>
            <w:tcW w:w="4460" w:type="dxa"/>
            <w:vAlign w:val="bottom"/>
          </w:tcPr>
          <w:p>
            <w:pPr>
              <w:jc w:val="right"/>
              <w:ind w:right="176"/>
              <w:spacing w:after="0"/>
              <w:rPr>
                <w:sz w:val="20"/>
                <w:szCs w:val="20"/>
                <w:color w:val="auto"/>
              </w:rPr>
            </w:pPr>
            <w:r>
              <w:rPr>
                <w:rFonts w:ascii="Arial" w:cs="Arial" w:eastAsia="Arial" w:hAnsi="Arial"/>
                <w:sz w:val="18"/>
                <w:szCs w:val="18"/>
                <w:b w:val="1"/>
                <w:bCs w:val="1"/>
                <w:color w:val="auto"/>
              </w:rPr>
              <w:t>21.9%</w:t>
            </w:r>
          </w:p>
        </w:tc>
        <w:tc>
          <w:tcPr>
            <w:tcW w:w="1060" w:type="dxa"/>
            <w:vAlign w:val="bottom"/>
          </w:tcPr>
          <w:p>
            <w:pPr>
              <w:jc w:val="right"/>
              <w:ind w:right="176"/>
              <w:spacing w:after="0"/>
              <w:rPr>
                <w:sz w:val="20"/>
                <w:szCs w:val="20"/>
                <w:color w:val="auto"/>
              </w:rPr>
            </w:pPr>
            <w:r>
              <w:rPr>
                <w:rFonts w:ascii="Arial" w:cs="Arial" w:eastAsia="Arial" w:hAnsi="Arial"/>
                <w:sz w:val="18"/>
                <w:szCs w:val="18"/>
                <w:color w:val="auto"/>
              </w:rPr>
              <w:t>22.4%</w:t>
            </w: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Furniture and other</w:t>
            </w:r>
          </w:p>
        </w:tc>
        <w:tc>
          <w:tcPr>
            <w:tcW w:w="44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13.0%</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12.4%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100.0%</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ACQUISITION AND DISPOSITIONS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2011, the company acquired all of the shares of Svanströms Gruppen (Frans Svanströms &amp; Co AB), a supplier of office products and services headquartered in Stockholm, Sweden to complement the company’s existing business in that region. As part of this all-cash transaction, the company recognized approximately $46 million of non-deductible goodwill, primarily attributable to anticipated synergies, $20 million of amortizing intangible assets for customer relationships and proprietary names, as well as net working capital and property and equipment. The amortizing intangible assets had a weighted average life of 6.9 years 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acquisition date. Operations have been included in the International Division results since the date of acquisition. Supplemental pro forma information as if the entities were combined at earlier periods is not provided based on materiality considerations.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2010, the company sold the stock of its operating entities in Israel and Japan and entered into licensing agreements with the respective buyers of those companies. A loss on disposition of approximately $11 million was reflected in the operating income of the International Division and included in operating expenses in the Consolidated Statement of Operations. Additionally in December 2010, the company entered into an amended shareholders’ agreement related to its joint venture in India such that financial and operating policies are now shared and equity capital balances are equal. The revenues and expenses of these entities were included through the date of sale or deconsolidation in the Consolidated Statement of Operations and the assets and liabilities of each of these entities were removed from the year end 2010 Consolidated Balance Sheet. The investment in India is accounted for under the equity method, with our share of results being presented in Miscellaneous income,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QUARTERLY FINANCIAL DATA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2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color w:val="auto"/>
              </w:rPr>
              <w:t>First Quarter</w:t>
            </w: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Second Quarter</w:t>
            </w:r>
          </w:p>
        </w:tc>
        <w:tc>
          <w:tcPr>
            <w:tcW w:w="13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Third Quarter</w:t>
            </w:r>
            <w:r>
              <w:rPr>
                <w:rFonts w:ascii="Arial" w:cs="Arial" w:eastAsia="Arial" w:hAnsi="Arial"/>
                <w:sz w:val="22"/>
                <w:szCs w:val="22"/>
                <w:color w:val="auto"/>
                <w:vertAlign w:val="superscript"/>
              </w:rPr>
              <w:t>(1)</w:t>
            </w: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2"/>
              </w:rPr>
              <w:t>Fourth Quarter</w:t>
            </w:r>
            <w:r>
              <w:rPr>
                <w:rFonts w:ascii="Arial" w:cs="Arial" w:eastAsia="Arial" w:hAnsi="Arial"/>
                <w:sz w:val="22"/>
                <w:szCs w:val="22"/>
                <w:color w:val="auto"/>
                <w:w w:val="92"/>
                <w:vertAlign w:val="superscript"/>
              </w:rPr>
              <w:t>(2)</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2011</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2,972,960</w:t>
            </w:r>
          </w:p>
        </w:tc>
        <w:tc>
          <w:tcPr>
            <w:tcW w:w="380" w:type="dxa"/>
            <w:vAlign w:val="bottom"/>
          </w:tcPr>
          <w:p>
            <w:pPr>
              <w:ind w:left="2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2,710,141</w:t>
            </w:r>
          </w:p>
        </w:tc>
        <w:tc>
          <w:tcPr>
            <w:tcW w:w="38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w w:val="89"/>
              </w:rPr>
              <w:t>2,836,737</w:t>
            </w:r>
          </w:p>
        </w:tc>
        <w:tc>
          <w:tcPr>
            <w:tcW w:w="4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2,969,695</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878,188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794,052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855,020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899,186</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20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(5,390)</w:t>
            </w:r>
          </w:p>
        </w:tc>
        <w:tc>
          <w:tcPr>
            <w:tcW w:w="3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(20,116)</w:t>
            </w:r>
          </w:p>
        </w:tc>
        <w:tc>
          <w:tcPr>
            <w:tcW w:w="38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100,849</w:t>
            </w:r>
          </w:p>
        </w:tc>
        <w:tc>
          <w:tcPr>
            <w:tcW w:w="4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20,348</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attributable to Office Depot, Inc.</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(5,414)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(20,114)</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100,872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20,350</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earnings (loss) available to common shareholders</w:t>
            </w:r>
          </w:p>
        </w:tc>
        <w:tc>
          <w:tcPr>
            <w:tcW w:w="120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(14,627)</w:t>
            </w:r>
          </w:p>
        </w:tc>
        <w:tc>
          <w:tcPr>
            <w:tcW w:w="38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(29,327)</w:t>
            </w:r>
          </w:p>
        </w:tc>
        <w:tc>
          <w:tcPr>
            <w:tcW w:w="38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91,659</w:t>
            </w:r>
          </w:p>
        </w:tc>
        <w:tc>
          <w:tcPr>
            <w:tcW w:w="4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12,284</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per share*:</w:t>
            </w: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Basic</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(0.05)</w:t>
            </w:r>
          </w:p>
        </w:tc>
        <w:tc>
          <w:tcPr>
            <w:tcW w:w="380" w:type="dxa"/>
            <w:vAlign w:val="bottom"/>
          </w:tcPr>
          <w:p>
            <w:pPr>
              <w:ind w:left="2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(0.11)</w:t>
            </w:r>
          </w:p>
        </w:tc>
        <w:tc>
          <w:tcPr>
            <w:tcW w:w="38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0.29</w:t>
            </w:r>
          </w:p>
        </w:tc>
        <w:tc>
          <w:tcPr>
            <w:tcW w:w="4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0.04</w:t>
            </w: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(0.05)</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(0.11)</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0.28</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Due to rounding, the sum of the quarterly earnings per share amounts may not equal the reported earnings per share for the year.</w:t>
      </w:r>
    </w:p>
    <w:p>
      <w:pPr>
        <w:spacing w:after="0" w:line="6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Net earnings includes approximately $99 million of tax and related interest benefits from the reversal of uncertain tax positions</w:t>
      </w:r>
      <w:r>
        <w:rPr>
          <w:rFonts w:ascii="Arial" w:cs="Arial" w:eastAsia="Arial" w:hAnsi="Arial"/>
          <w:sz w:val="11"/>
          <w:szCs w:val="11"/>
          <w:color w:val="auto"/>
        </w:rPr>
        <w:t>.</w:t>
      </w:r>
    </w:p>
    <w:p>
      <w:pPr>
        <w:spacing w:after="0" w:line="74" w:lineRule="exact"/>
        <w:rPr>
          <w:rFonts w:ascii="Arial" w:cs="Arial" w:eastAsia="Arial" w:hAnsi="Arial"/>
          <w:sz w:val="22"/>
          <w:szCs w:val="22"/>
          <w:color w:val="auto"/>
          <w:vertAlign w:val="superscript"/>
        </w:rPr>
      </w:pPr>
    </w:p>
    <w:p>
      <w:pPr>
        <w:ind w:left="460" w:hanging="452"/>
        <w:spacing w:after="0" w:line="272" w:lineRule="auto"/>
        <w:tabs>
          <w:tab w:leader="none" w:pos="460"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Fiscal year 2011 includes 53 weeks in accordance with our 52- week, 53-week retail calendar; accordingly, the fourth quarter includes 14 weeks. Additionally, the fourth quarter includes approximately $24 million of benefits from the reversal of uncertain tax positions and valuation allowances.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1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First Quarter</w:t>
            </w:r>
          </w:p>
        </w:tc>
        <w:tc>
          <w:tcPr>
            <w:tcW w:w="15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Second Quarter</w:t>
            </w:r>
            <w:r>
              <w:rPr>
                <w:rFonts w:ascii="Arial" w:cs="Arial" w:eastAsia="Arial" w:hAnsi="Arial"/>
                <w:sz w:val="22"/>
                <w:szCs w:val="22"/>
                <w:color w:val="auto"/>
                <w:vertAlign w:val="superscript"/>
              </w:rPr>
              <w:t>(1)</w:t>
            </w:r>
          </w:p>
        </w:tc>
        <w:tc>
          <w:tcPr>
            <w:tcW w:w="13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Third Quarter</w:t>
            </w:r>
            <w:r>
              <w:rPr>
                <w:rFonts w:ascii="Arial" w:cs="Arial" w:eastAsia="Arial" w:hAnsi="Arial"/>
                <w:sz w:val="22"/>
                <w:szCs w:val="22"/>
                <w:color w:val="auto"/>
                <w:vertAlign w:val="superscript"/>
              </w:rPr>
              <w:t>(2)</w:t>
            </w: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2"/>
              </w:rPr>
              <w:t>Fourth Quarter</w:t>
            </w:r>
            <w:r>
              <w:rPr>
                <w:rFonts w:ascii="Arial" w:cs="Arial" w:eastAsia="Arial" w:hAnsi="Arial"/>
                <w:sz w:val="22"/>
                <w:szCs w:val="22"/>
                <w:color w:val="auto"/>
                <w:w w:val="92"/>
                <w:vertAlign w:val="superscript"/>
              </w:rPr>
              <w:t>(3)</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25, 2010</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84"/>
              </w:rPr>
              <w:t>3,071,970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w w:val="97"/>
              </w:rPr>
              <w:t>2,699,475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w w:val="89"/>
              </w:rPr>
              <w:t>2,899,717</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2,961,932</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913,731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766,688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829,183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847,535</w:t>
            </w: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14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29,240</w:t>
            </w:r>
          </w:p>
        </w:tc>
        <w:tc>
          <w:tcPr>
            <w:tcW w:w="44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(16,140)</w:t>
            </w:r>
          </w:p>
        </w:tc>
        <w:tc>
          <w:tcPr>
            <w:tcW w:w="38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40,622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(99,927)</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 attributable to Office Depot, Inc.</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29,468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(15,934)</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41,254</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(99,411)</w:t>
            </w: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Net earnings (loss) available to common shareholders</w:t>
            </w:r>
          </w:p>
        </w:tc>
        <w:tc>
          <w:tcPr>
            <w:tcW w:w="114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19,993</w:t>
            </w:r>
          </w:p>
        </w:tc>
        <w:tc>
          <w:tcPr>
            <w:tcW w:w="44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(25,147)</w:t>
            </w:r>
          </w:p>
        </w:tc>
        <w:tc>
          <w:tcPr>
            <w:tcW w:w="38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32,044</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(108,626)</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per share*:</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Basic</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0.07</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(0.09)</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0.12</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0.07</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(0.09)</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0.12</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1960" w:hanging="5572"/>
        <w:spacing w:after="0" w:line="440" w:lineRule="auto"/>
        <w:tabs>
          <w:tab w:leader="none" w:pos="4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Due to rounding, the sum of the quarterly earnings per share amounts may not equal the reported earnings per share for the year. 148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28"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Net loss for the quarter includes approximately $13 million discrete tax benefits from the release of a valuation allowance in Europe and a favorable settlement with certain taxing authorities</w:t>
      </w:r>
      <w:r>
        <w:rPr>
          <w:rFonts w:ascii="Arial" w:cs="Arial" w:eastAsia="Arial" w:hAnsi="Arial"/>
          <w:sz w:val="11"/>
          <w:szCs w:val="11"/>
          <w:color w:val="auto"/>
        </w:rPr>
        <w:t>.</w:t>
      </w:r>
    </w:p>
    <w:p>
      <w:pPr>
        <w:spacing w:after="0" w:line="76" w:lineRule="exact"/>
        <w:rPr>
          <w:rFonts w:ascii="Arial" w:cs="Arial" w:eastAsia="Arial" w:hAnsi="Arial"/>
          <w:sz w:val="22"/>
          <w:szCs w:val="22"/>
          <w:color w:val="auto"/>
          <w:vertAlign w:val="superscript"/>
        </w:rPr>
      </w:pPr>
    </w:p>
    <w:p>
      <w:pPr>
        <w:ind w:left="460" w:hanging="452"/>
        <w:spacing w:after="0" w:line="228"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Net earnings for the quarter includes approximately $32 million of discrete tax benefits from the settlement of certain tax positions relating to open years as well as approximately $13 million of related interest benefits.</w:t>
      </w:r>
    </w:p>
    <w:p>
      <w:pPr>
        <w:spacing w:after="0" w:line="76" w:lineRule="exact"/>
        <w:rPr>
          <w:rFonts w:ascii="Arial" w:cs="Arial" w:eastAsia="Arial" w:hAnsi="Arial"/>
          <w:sz w:val="22"/>
          <w:szCs w:val="22"/>
          <w:color w:val="auto"/>
          <w:vertAlign w:val="superscript"/>
        </w:rPr>
      </w:pPr>
    </w:p>
    <w:p>
      <w:pPr>
        <w:ind w:left="460" w:hanging="452"/>
        <w:spacing w:after="0" w:line="241" w:lineRule="auto"/>
        <w:tabs>
          <w:tab w:leader="none" w:pos="460" w:val="left"/>
        </w:tabs>
        <w:numPr>
          <w:ilvl w:val="0"/>
          <w:numId w:val="91"/>
        </w:numPr>
        <w:rPr>
          <w:rFonts w:ascii="Arial" w:cs="Arial" w:eastAsia="Arial" w:hAnsi="Arial"/>
          <w:sz w:val="21"/>
          <w:szCs w:val="21"/>
          <w:color w:val="auto"/>
          <w:vertAlign w:val="superscript"/>
        </w:rPr>
      </w:pPr>
      <w:r>
        <w:rPr>
          <w:rFonts w:ascii="Arial" w:cs="Arial" w:eastAsia="Arial" w:hAnsi="Arial"/>
          <w:sz w:val="17"/>
          <w:szCs w:val="17"/>
          <w:color w:val="auto"/>
        </w:rPr>
        <w:t>Net loss for the quarter includes approximately $12 million related to pre-tax charges for severance and facility closures, $11 million loss on the sale of operating entities, $51 million from software write off, and $13 million severance and related costs for departing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Settlement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sale and purchase agreement (“SPA”) associated with a 2003 European acquisition included a provision whereby the seller was required to pay an amount to the company if a specified acquired pension plan was calculated to be underfunded based on 2008 plan data. The unfunded obligation amount calculated by the plan’s actuary based on that data was disputed by the seller. The parties entered into arbitration to resolve this matter and, in March 2011, the arbitrator found in favor of the company. The seller pursued an annulment of the award in French court. In November 2011, the seller paid approximately $8.8 million (GBP 5.5 million) to the company to allow for future monthly payments to the pension plan, pending a court ruling on their cancellation request. That money was placed in an escrow account with the pension plan acting as trustee. On January 6, 2012, both parties entered into a settlement agreement that settled all claims by either party for this and any other matter under the original SPA. The seller paid to the company an additional $50 million (GBP 32.2 million). The resolution of this contingency will be recognized in the company’s first quarter 2012 financial statements as a credit to income. The cash received from the seller has been contributed to the pension plan in February 2012, reducing the unfunded position that existed at December 31, 2011. This contribution will be presented in the first quarter 2012 statement of cash flows as a use of cash in operating activities. The receipt of cash from the seller for the settlement will be presented as a source of cash in investing activities. Costs incurred to resolve the disputed arbitration award have been expensed as incurred and a portion of those costs have been reimbursed in the settlement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2012, the company announced commencement of a cash tender offer to purchase up to $250.0 million aggregate principal amount of its outstanding $6.25% Senior Notes due 2013. The tender offer is scheduled to expire at midnight, New York City time, on March 16, 2012, unless extended or earlier terminated.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Office Depot, Inc.:</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financial statements of Office Depot, Inc. and subsidiaries (the “Company”) as of December 31, 2011 and December 25, 2010, and for each of the three fiscal years in the period ended December 31, 2011, and the Company’s internal control over financial reporting as of December 31, 2011, and have issued our reports thereon dated February 28, 2012; such consolidated financial statements and reports are included elsewhere in this Form 10-K. Our audits also included the consolidated financial statement schedule of the Company listed in the accompanying index at Item 15(a)(2). This consolidated financial statement schedule is the responsibility of the Company's management. Our responsibility is to express an opinion based on our audits. In our opinion, such consolidated financial statement schedule, when considered in relation to the basic financial statements taken as a whole, present fairly, in all material respects, the information set forth therein.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 SCHEDULES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r>
      <w:tr>
        <w:trPr>
          <w:trHeight w:val="190"/>
        </w:trPr>
        <w:tc>
          <w:tcPr>
            <w:tcW w:w="4540" w:type="dxa"/>
            <w:vAlign w:val="bottom"/>
            <w:tcBorders>
              <w:top w:val="single" w:sz="8" w:color="CCEEFF"/>
              <w:bottom w:val="single" w:sz="8" w:color="0000EE"/>
            </w:tcBorders>
            <w:shd w:val="clear" w:color="auto" w:fill="CCEEFF"/>
          </w:tcPr>
          <w:p>
            <w:pPr>
              <w:spacing w:after="0" w:line="136" w:lineRule="exact"/>
              <w:rPr>
                <w:rFonts w:ascii="Arial" w:cs="Arial" w:eastAsia="Arial" w:hAnsi="Arial"/>
                <w:sz w:val="15"/>
                <w:szCs w:val="15"/>
                <w:color w:val="0000EE"/>
              </w:rPr>
            </w:pPr>
            <w:hyperlink w:anchor="page154">
              <w:r>
                <w:rPr>
                  <w:rFonts w:ascii="Arial" w:cs="Arial" w:eastAsia="Arial" w:hAnsi="Arial"/>
                  <w:sz w:val="15"/>
                  <w:szCs w:val="15"/>
                  <w:color w:val="0000EE"/>
                </w:rPr>
                <w:t>Schedule II — Valuation and Qualifying Accounts and Reserves</w:t>
              </w:r>
            </w:hyperlink>
          </w:p>
        </w:tc>
        <w:tc>
          <w:tcPr>
            <w:tcW w:w="64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76"/>
        </w:trPr>
        <w:tc>
          <w:tcPr>
            <w:tcW w:w="11000" w:type="dxa"/>
            <w:vAlign w:val="bottom"/>
            <w:gridSpan w:val="2"/>
          </w:tcPr>
          <w:p>
            <w:pPr>
              <w:spacing w:after="0"/>
              <w:rPr>
                <w:sz w:val="20"/>
                <w:szCs w:val="20"/>
                <w:color w:val="auto"/>
              </w:rPr>
            </w:pPr>
            <w:r>
              <w:rPr>
                <w:rFonts w:ascii="Arial" w:cs="Arial" w:eastAsia="Arial" w:hAnsi="Arial"/>
                <w:sz w:val="18"/>
                <w:szCs w:val="18"/>
                <w:color w:val="auto"/>
              </w:rPr>
              <w:t>All other schedules have been omitted because they are not applicable, not required or the information is included elsewhere herein.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1000" w:type="dxa"/>
            <w:vAlign w:val="bottom"/>
            <w:gridSpan w:val="2"/>
          </w:tcPr>
          <w:p>
            <w:pPr>
              <w:jc w:val="right"/>
              <w:ind w:right="516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SCHEDULE II</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8"/>
              </w:rPr>
              <w:t>OFFICE DEPOT, INC.</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8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8"/>
              </w:rPr>
              <w:t>VALUATION AND QUALIFYING ACCOUNTS</w:t>
            </w: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820" w:type="dxa"/>
            <w:vAlign w:val="bottom"/>
            <w:gridSpan w:val="4"/>
          </w:tcPr>
          <w:p>
            <w:pPr>
              <w:jc w:val="center"/>
              <w:ind w:left="272"/>
              <w:spacing w:after="0"/>
              <w:rPr>
                <w:sz w:val="20"/>
                <w:szCs w:val="20"/>
                <w:color w:val="auto"/>
              </w:rPr>
            </w:pPr>
            <w:r>
              <w:rPr>
                <w:rFonts w:ascii="Arial" w:cs="Arial" w:eastAsia="Arial" w:hAnsi="Arial"/>
                <w:sz w:val="18"/>
                <w:szCs w:val="18"/>
                <w:color w:val="auto"/>
                <w:w w:val="88"/>
              </w:rPr>
              <w:t>(In thousands)</w:t>
            </w: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Column A</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Column</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20" w:type="dxa"/>
            <w:vAlign w:val="bottom"/>
            <w:gridSpan w:val="2"/>
            <w:vMerge w:val="continue"/>
          </w:tcPr>
          <w:p>
            <w:pPr>
              <w:spacing w:after="0"/>
              <w:rPr>
                <w:sz w:val="13"/>
                <w:szCs w:val="13"/>
                <w:color w:val="auto"/>
              </w:rPr>
            </w:pPr>
          </w:p>
        </w:tc>
        <w:tc>
          <w:tcPr>
            <w:tcW w:w="3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91"/>
              </w:rPr>
              <w:t>Column B</w:t>
            </w:r>
          </w:p>
        </w:tc>
        <w:tc>
          <w:tcPr>
            <w:tcW w:w="118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98"/>
              </w:rPr>
              <w:t>C</w:t>
            </w: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93"/>
              </w:rPr>
              <w:t>Column 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7"/>
              </w:rPr>
              <w:t>Column 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30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3"/>
              </w:rPr>
              <w:t>Additions</w:t>
            </w:r>
          </w:p>
        </w:tc>
        <w:tc>
          <w:tcPr>
            <w:tcW w:w="64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Deductions—</w:t>
            </w: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0"/>
              </w:rPr>
              <w:t>Write-offs,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7"/>
              </w:rPr>
              <w:t>Balance at</w:t>
            </w: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Charged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2"/>
              </w:rPr>
              <w:t>Payments and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Beginning</w:t>
            </w: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to</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5"/>
              </w:rPr>
              <w:t>Other</w:t>
            </w:r>
          </w:p>
        </w:tc>
        <w:tc>
          <w:tcPr>
            <w:tcW w:w="6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4"/>
              </w:rPr>
              <w:t>Balance at End</w:t>
            </w: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Description</w:t>
            </w:r>
          </w:p>
        </w:tc>
        <w:tc>
          <w:tcPr>
            <w:tcW w:w="3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9"/>
              </w:rPr>
              <w:t>of Period</w:t>
            </w:r>
          </w:p>
        </w:tc>
        <w:tc>
          <w:tcPr>
            <w:tcW w:w="118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4"/>
              </w:rPr>
              <w:t>Expense</w:t>
            </w: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90"/>
              </w:rPr>
              <w:t>Adjustments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2"/>
              </w:rPr>
              <w:t>of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30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1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2011</w:t>
            </w:r>
          </w:p>
        </w:tc>
        <w:tc>
          <w:tcPr>
            <w:tcW w:w="4180" w:type="dxa"/>
            <w:vAlign w:val="bottom"/>
            <w:gridSpan w:val="3"/>
          </w:tcPr>
          <w:p>
            <w:pPr>
              <w:jc w:val="center"/>
              <w:ind w:left="3512"/>
              <w:spacing w:after="0"/>
              <w:rPr>
                <w:sz w:val="20"/>
                <w:szCs w:val="20"/>
                <w:color w:val="auto"/>
              </w:rPr>
            </w:pPr>
            <w:r>
              <w:rPr>
                <w:rFonts w:ascii="Arial" w:cs="Arial" w:eastAsia="Arial" w:hAnsi="Arial"/>
                <w:sz w:val="18"/>
                <w:szCs w:val="18"/>
                <w:b w:val="1"/>
                <w:bCs w:val="1"/>
                <w:color w:val="auto"/>
                <w:w w:val="89"/>
              </w:rPr>
              <w:t>$28,047</w:t>
            </w:r>
          </w:p>
        </w:tc>
        <w:tc>
          <w:tcPr>
            <w:tcW w:w="6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7"/>
              </w:rPr>
              <w:t>13,603</w:t>
            </w: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21,979</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19,671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2010</w:t>
            </w:r>
          </w:p>
        </w:tc>
        <w:tc>
          <w:tcPr>
            <w:tcW w:w="4180" w:type="dxa"/>
            <w:vAlign w:val="bottom"/>
            <w:gridSpan w:val="3"/>
            <w:shd w:val="clear" w:color="auto" w:fill="CCEEFF"/>
          </w:tcPr>
          <w:p>
            <w:pPr>
              <w:jc w:val="center"/>
              <w:ind w:left="3512"/>
              <w:spacing w:after="0"/>
              <w:rPr>
                <w:sz w:val="20"/>
                <w:szCs w:val="20"/>
                <w:color w:val="auto"/>
              </w:rPr>
            </w:pPr>
            <w:r>
              <w:rPr>
                <w:rFonts w:ascii="Arial" w:cs="Arial" w:eastAsia="Arial" w:hAnsi="Arial"/>
                <w:sz w:val="18"/>
                <w:szCs w:val="18"/>
                <w:color w:val="auto"/>
                <w:w w:val="89"/>
              </w:rPr>
              <w:t>$32,802</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10,954</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2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4180" w:type="dxa"/>
            <w:vAlign w:val="bottom"/>
            <w:gridSpan w:val="3"/>
          </w:tcPr>
          <w:p>
            <w:pPr>
              <w:jc w:val="center"/>
              <w:ind w:left="3512"/>
              <w:spacing w:after="0"/>
              <w:rPr>
                <w:sz w:val="20"/>
                <w:szCs w:val="20"/>
                <w:color w:val="auto"/>
              </w:rPr>
            </w:pPr>
            <w:r>
              <w:rPr>
                <w:rFonts w:ascii="Arial" w:cs="Arial" w:eastAsia="Arial" w:hAnsi="Arial"/>
                <w:sz w:val="18"/>
                <w:szCs w:val="18"/>
                <w:color w:val="auto"/>
                <w:w w:val="89"/>
              </w:rPr>
              <w:t>$45,990</w:t>
            </w:r>
          </w:p>
        </w:tc>
        <w:tc>
          <w:tcPr>
            <w:tcW w:w="6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22,020</w:t>
            </w:r>
          </w:p>
        </w:tc>
        <w:tc>
          <w:tcPr>
            <w:tcW w:w="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35,208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60" w:type="dxa"/>
            <w:vAlign w:val="bottom"/>
          </w:tcPr>
          <w:p>
            <w:pPr>
              <w:jc w:val="center"/>
              <w:ind w:left="2032"/>
              <w:spacing w:after="0"/>
              <w:rPr>
                <w:sz w:val="20"/>
                <w:szCs w:val="20"/>
                <w:color w:val="auto"/>
              </w:rPr>
            </w:pPr>
            <w:r>
              <w:rPr>
                <w:rFonts w:ascii="Arial" w:cs="Arial" w:eastAsia="Arial" w:hAnsi="Arial"/>
                <w:sz w:val="18"/>
                <w:szCs w:val="18"/>
                <w:color w:val="auto"/>
                <w:w w:val="86"/>
              </w:rPr>
              <w:t>152</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line="208" w:lineRule="auto"/>
        <w:framePr w:w="1440" w:h="160" w:wrap="auto" w:vAnchor="page" w:hAnchor="page" w:x="200" w:y="48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 FOR OFFICE DEPOT 10-K</w:t>
      </w:r>
    </w:p>
    <w:p>
      <w:pPr>
        <w:spacing w:after="0" w:line="203" w:lineRule="exact"/>
        <w:rPr>
          <w:rFonts w:ascii="Arial" w:cs="Arial" w:eastAsia="Arial" w:hAnsi="Arial"/>
          <w:sz w:val="16"/>
          <w:szCs w:val="16"/>
          <w:b w:val="1"/>
          <w:b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Exhibit</w:t>
            </w:r>
          </w:p>
        </w:tc>
        <w:tc>
          <w:tcPr>
            <w:tcW w:w="48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Number</w:t>
            </w:r>
          </w:p>
        </w:tc>
        <w:tc>
          <w:tcPr>
            <w:tcW w:w="480" w:type="dxa"/>
            <w:vAlign w:val="bottom"/>
          </w:tcPr>
          <w:p>
            <w:pPr>
              <w:spacing w:after="0"/>
              <w:rPr>
                <w:sz w:val="15"/>
                <w:szCs w:val="15"/>
                <w:color w:val="auto"/>
              </w:rPr>
            </w:pPr>
          </w:p>
        </w:tc>
        <w:tc>
          <w:tcPr>
            <w:tcW w:w="9920" w:type="dxa"/>
            <w:vAlign w:val="bottom"/>
            <w:tcBorders>
              <w:bottom w:val="single" w:sz="8" w:color="auto"/>
            </w:tcBorders>
          </w:tcPr>
          <w:p>
            <w:pPr>
              <w:ind w:left="4760"/>
              <w:spacing w:after="0" w:line="159" w:lineRule="exact"/>
              <w:rPr>
                <w:sz w:val="20"/>
                <w:szCs w:val="20"/>
                <w:color w:val="auto"/>
              </w:rPr>
            </w:pPr>
            <w:r>
              <w:rPr>
                <w:rFonts w:ascii="Arial" w:cs="Arial" w:eastAsia="Arial" w:hAnsi="Arial"/>
                <w:sz w:val="14"/>
                <w:szCs w:val="14"/>
                <w:color w:val="auto"/>
              </w:rPr>
              <w:t>Exhibit</w:t>
            </w:r>
          </w:p>
        </w:tc>
        <w:tc>
          <w:tcPr>
            <w:tcW w:w="520" w:type="dxa"/>
            <w:vAlign w:val="bottom"/>
            <w:vMerge w:val="restart"/>
          </w:tcPr>
          <w:p>
            <w:pPr>
              <w:jc w:val="center"/>
              <w:ind w:left="15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9"/>
        </w:trPr>
        <w:tc>
          <w:tcPr>
            <w:tcW w:w="48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Restated Certificate of Incorporation</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Amendment to Certificate of Incorporation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Amended and Restated Bylaws</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Certificate of Elimination of the Junior Participating Preferred Stock, Series A</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3.5</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Certificate of Designations of the 10.00% Series A Redeemable Convertible Participating Perpetual Preferred Stock</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3.6</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7"/>
              </w:rPr>
              <w:t>Certificate of Designations of the 10.00% Series B Redeemable Conditional Convertible Participating Perpetual Preferred Stock</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Form of Certificate representing shares of Common Stock</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89"/>
              </w:rPr>
              <w:t>Indenture, dated as of August 11, 2003, for the $400 million 6.250% Senior Notes due August 15, 2013, by and between Office Depot, Inc.</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and SunTrust Bank</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88"/>
              </w:rPr>
              <w:t>Supplemental Indenture No. 1, dated as of August 11, 2003, for the $400 million 6.250% Senior Notes due August 15, 2013, by and between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Office Depot, Inc. and SunTrust Bank</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4.4</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88"/>
              </w:rPr>
              <w:t>Supplemental Indenture No. 2, dated as of October 9, 2003, for the $400 million 6.250% Senior Notes due August 15, 2013, by and between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Office Depot, Inc. and SunTrust Bank</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4.5</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2"/>
              </w:rPr>
              <w:t>Investor Rights Agreement, dated as of June 23, 2009, by and among Office Depot, Inc., BC Partners, Inc. and the investors named in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the Investor Rights Agreement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4.6</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0"/>
              </w:rPr>
              <w:t>Registration Rights Agreement, dated as of June 23, 2009, by and among Office Depot, Inc., BC Partners, Inc. and the investors named in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the Registration Rights Agreement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10.01</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Lease Agreement dated November 10, 2006, by and between Office Depot, Inc. and Boca 54 North LLC</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First Amendment to Lease dated July 3, 2007, by and between Office Depot, Inc. and Boca 54 North LLC</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10.03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1"/>
              </w:rPr>
              <w:t>Amended Offer Letter dated December 31, 2008, for the Employment of Michael Newman as the Chief Financial Officer of Office Depot,</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Inc.*</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10.04</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7"/>
              </w:rPr>
              <w:t>Offer Letter dated August 22, 2008, for the Employment of Michael Newman as the Chief Financial Officer of Office Depot, Inc.*</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10.05</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Office Depot, Inc. 2007 Long-Term Incentive Plan*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10.06</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2"/>
              </w:rPr>
              <w:t>Amendment to Executive Employment Agreement dated as of July 26, 2005, by and between Office Depot, Inc. and Charles E. Brown*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10.07</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Executive Employment Agreement dated as of October 8, 2001, by and between Office Depot, Inc. and Charles E. Brown*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10.08</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0"/>
              </w:rPr>
              <w:t>Amended and Restated Executive Employment Agreement, dated December 31, 2008, by and between Office Depot, Inc. and Charles E.</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Brown*</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10.09</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Change of Control Agreement, dated as of May 28, 1998, by and between Office Depot, Inc. and Charles E. Brown*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9"/>
              </w:rPr>
              <w:t>Change of Control Agreement, dated as of September 17, 2008, by and between Office Depot, Inc. and Michael D. Newman*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10400" w:type="dxa"/>
            <w:vAlign w:val="bottom"/>
            <w:gridSpan w:val="2"/>
          </w:tcPr>
          <w:p>
            <w:pPr>
              <w:ind w:left="5100"/>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76"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Exhibit</w:t>
            </w:r>
          </w:p>
        </w:tc>
        <w:tc>
          <w:tcPr>
            <w:tcW w:w="48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Number</w:t>
            </w:r>
          </w:p>
        </w:tc>
        <w:tc>
          <w:tcPr>
            <w:tcW w:w="480" w:type="dxa"/>
            <w:vAlign w:val="bottom"/>
          </w:tcPr>
          <w:p>
            <w:pPr>
              <w:spacing w:after="0"/>
              <w:rPr>
                <w:sz w:val="14"/>
                <w:szCs w:val="14"/>
                <w:color w:val="auto"/>
              </w:rPr>
            </w:pPr>
          </w:p>
        </w:tc>
        <w:tc>
          <w:tcPr>
            <w:tcW w:w="9920" w:type="dxa"/>
            <w:vAlign w:val="bottom"/>
            <w:tcBorders>
              <w:bottom w:val="single" w:sz="8" w:color="auto"/>
            </w:tcBorders>
          </w:tcPr>
          <w:p>
            <w:pPr>
              <w:ind w:left="4760"/>
              <w:spacing w:after="0" w:line="159" w:lineRule="exact"/>
              <w:rPr>
                <w:sz w:val="20"/>
                <w:szCs w:val="20"/>
                <w:color w:val="auto"/>
              </w:rPr>
            </w:pPr>
            <w:r>
              <w:rPr>
                <w:rFonts w:ascii="Arial" w:cs="Arial" w:eastAsia="Arial" w:hAnsi="Arial"/>
                <w:sz w:val="14"/>
                <w:szCs w:val="14"/>
                <w:color w:val="auto"/>
              </w:rPr>
              <w:t>Exhibit</w:t>
            </w:r>
          </w:p>
        </w:tc>
        <w:tc>
          <w:tcPr>
            <w:tcW w:w="520" w:type="dxa"/>
            <w:vAlign w:val="bottom"/>
          </w:tcPr>
          <w:p>
            <w:pPr>
              <w:spacing w:after="0"/>
              <w:rPr>
                <w:sz w:val="14"/>
                <w:szCs w:val="14"/>
                <w:color w:val="auto"/>
              </w:rPr>
            </w:pPr>
          </w:p>
        </w:tc>
      </w:tr>
      <w:tr>
        <w:trPr>
          <w:trHeight w:val="302"/>
        </w:trPr>
        <w:tc>
          <w:tcPr>
            <w:tcW w:w="48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0"/>
              </w:rPr>
              <w:t>Amended and Restated Change of Control Agreement, dated as of February 25, 2008, by and between Office Depot, Inc. and Charles E.</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90"/>
              </w:rPr>
              <w:t>(8)</w:t>
            </w: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Brown*</w:t>
            </w:r>
          </w:p>
        </w:tc>
        <w:tc>
          <w:tcPr>
            <w:tcW w:w="520" w:type="dxa"/>
            <w:vAlign w:val="bottom"/>
          </w:tcPr>
          <w:p>
            <w:pPr>
              <w:spacing w:after="0"/>
              <w:rPr>
                <w:sz w:val="19"/>
                <w:szCs w:val="19"/>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2008 Office Depot, Inc. Bonus Plan for Executive Management Employees*</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(12)</w:t>
            </w: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2"/>
              </w:rPr>
              <w:t>Securities Purchase Agreement, dated as of June 23, 2009, by and among Office Depot, Inc. and the investors named in the Securities</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(15)</w:t>
            </w:r>
          </w:p>
        </w:tc>
      </w:tr>
      <w:tr>
        <w:trPr>
          <w:trHeight w:val="222"/>
        </w:trPr>
        <w:tc>
          <w:tcPr>
            <w:tcW w:w="480" w:type="dxa"/>
            <w:vAlign w:val="bottom"/>
          </w:tcPr>
          <w:p>
            <w:pPr>
              <w:spacing w:after="0"/>
              <w:rPr>
                <w:sz w:val="19"/>
                <w:szCs w:val="19"/>
                <w:color w:val="auto"/>
              </w:rPr>
            </w:pP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Purchase Agreement</w:t>
            </w:r>
          </w:p>
        </w:tc>
        <w:tc>
          <w:tcPr>
            <w:tcW w:w="520" w:type="dxa"/>
            <w:vAlign w:val="bottom"/>
          </w:tcPr>
          <w:p>
            <w:pPr>
              <w:spacing w:after="0"/>
              <w:rPr>
                <w:sz w:val="19"/>
                <w:szCs w:val="19"/>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Change of Control Agreement, dated as of December 14, 2007, by and between Office Depot, Inc. and Steven M. Schmidt*</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1"/>
              </w:rPr>
              <w:t>Amendment to Employment Offer Letter Agreement, dated December 31, 2008, by and between Office Depot, Inc. and Steven Schmidt*</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Employment Offer Letter Agreement, dated July 10, 2007, by and between Office Depot, Inc. and Steven Schmidt*</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Office Depot, Inc. Amended Long-Term Incentive Plan*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Office Depot, Inc. Amended Long-Term Equity Incentive Plan, as revised and amended effective April 21, 2010*</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9"/>
              </w:rPr>
              <w:t>Amendment to Employment Agreement, dated as of April 26, 2010, by and between Office Depot, Inc. and Charles E. Brown*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4"/>
              </w:rPr>
              <w:t>Amendment to Change in Control Agreement, dated as of April 26, 2010, by and between Office Depot, Inc. and Charles E. Brown*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Letter Agreement with Michael D. Newman, dated as of April 23, 2010*</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Letter Agreement between Office Depot, Inc. and Neil R. Austrian dated November 2, 2010*</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6"/>
              </w:rPr>
              <w:t>Form of Non-Qualified Stock Option Award Agreement between Office Depot, Inc. and Neil R. Austrian dated November 2, 2010*</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10.24</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Retention Agreement between Office Depot, Inc. and Michael D. Newman, dated November 4, 2010*</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10.25</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w w:val="92"/>
              </w:rPr>
              <w:t>Form of Associate Non-Competition, Confidentiality and Non-Solicitation Agreement between Office Depot, Inc. and certain executives*</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Form of Change in Control Agreement between Office Depot, Inc. and certain executives*</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10.27</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Form of Waiver, dated as of March 30, 2011</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10.28</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First Amendment to the Office Depot, Inc. 2007 Long-Term Incentive Plan*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10.29</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Letter Agreement between Office Depot, Inc. and Neil R. Austrian dated May 23, 2011*</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10.30</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2011 Restricted Stock Award Agreement (Time Vesting) for Neil R. Austrian, dated May 23, 2011</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10.31</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2011 Restricted Stock Award Agreement (Performance Vesting) for Neil R. Austrian, dated May 23, 2011</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10.32</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Change of Control Agreement, dated as of May 23, 2011, by and between Office Depot, Inc. and Neil R. Austrian*</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10.33</w:t>
            </w:r>
          </w:p>
        </w:tc>
        <w:tc>
          <w:tcPr>
            <w:tcW w:w="10400" w:type="dxa"/>
            <w:vAlign w:val="bottom"/>
            <w:gridSpan w:val="2"/>
          </w:tcPr>
          <w:p>
            <w:pPr>
              <w:ind w:left="480"/>
              <w:spacing w:after="0"/>
              <w:rPr>
                <w:sz w:val="20"/>
                <w:szCs w:val="20"/>
                <w:color w:val="auto"/>
              </w:rPr>
            </w:pPr>
            <w:r>
              <w:rPr>
                <w:rFonts w:ascii="Arial" w:cs="Arial" w:eastAsia="Arial" w:hAnsi="Arial"/>
                <w:sz w:val="18"/>
                <w:szCs w:val="18"/>
                <w:color w:val="auto"/>
              </w:rPr>
              <w:t>Amendment to Letter Agreement between Office Depot, Inc. and Neil R. Austrian dated July 25, 2011*</w:t>
            </w:r>
          </w:p>
        </w:tc>
        <w:tc>
          <w:tcPr>
            <w:tcW w:w="520" w:type="dxa"/>
            <w:vAlign w:val="bottom"/>
          </w:tcPr>
          <w:p>
            <w:pPr>
              <w:jc w:val="center"/>
              <w:ind w:left="152"/>
              <w:spacing w:after="0"/>
              <w:rPr>
                <w:sz w:val="20"/>
                <w:szCs w:val="20"/>
                <w:color w:val="auto"/>
              </w:rPr>
            </w:pPr>
            <w:r>
              <w:rPr>
                <w:rFonts w:ascii="Arial" w:cs="Arial" w:eastAsia="Arial" w:hAnsi="Arial"/>
                <w:sz w:val="18"/>
                <w:szCs w:val="18"/>
                <w:color w:val="auto"/>
                <w:w w:val="87"/>
              </w:rPr>
              <w:t>(27)</w:t>
            </w:r>
          </w:p>
        </w:tc>
      </w:tr>
      <w:tr>
        <w:trPr>
          <w:trHeight w:val="365"/>
        </w:trPr>
        <w:tc>
          <w:tcPr>
            <w:tcW w:w="480" w:type="dxa"/>
            <w:vAlign w:val="bottom"/>
          </w:tcPr>
          <w:p>
            <w:pPr>
              <w:spacing w:after="0"/>
              <w:rPr>
                <w:sz w:val="24"/>
                <w:szCs w:val="24"/>
                <w:color w:val="auto"/>
              </w:rPr>
            </w:pPr>
          </w:p>
        </w:tc>
        <w:tc>
          <w:tcPr>
            <w:tcW w:w="10400" w:type="dxa"/>
            <w:vAlign w:val="bottom"/>
            <w:gridSpan w:val="2"/>
          </w:tcPr>
          <w:p>
            <w:pPr>
              <w:ind w:left="510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60" w:type="dxa"/>
            <w:vAlign w:val="bottom"/>
            <w:tcBorders>
              <w:bottom w:val="single" w:sz="8" w:color="auto"/>
            </w:tcBorders>
          </w:tcPr>
          <w:p>
            <w:pPr>
              <w:ind w:left="4480"/>
              <w:spacing w:after="0" w:line="159" w:lineRule="exact"/>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r>
      <w:tr>
        <w:trPr>
          <w:trHeight w:val="302"/>
        </w:trPr>
        <w:tc>
          <w:tcPr>
            <w:tcW w:w="480" w:type="dxa"/>
            <w:vAlign w:val="bottom"/>
          </w:tcPr>
          <w:p>
            <w:pPr>
              <w:spacing w:after="0"/>
              <w:rPr>
                <w:sz w:val="20"/>
                <w:szCs w:val="20"/>
                <w:color w:val="auto"/>
              </w:rPr>
            </w:pPr>
            <w:r>
              <w:rPr>
                <w:rFonts w:ascii="Arial" w:cs="Arial" w:eastAsia="Arial" w:hAnsi="Arial"/>
                <w:sz w:val="18"/>
                <w:szCs w:val="18"/>
                <w:color w:val="auto"/>
              </w:rPr>
              <w:t>10.34</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0"/>
              </w:rPr>
              <w:t>Form of Amended and Restated Credit Agreement, dated as of May 25, 2011, among Office Depot, Inc. and certain of its European   (28)</w:t>
            </w:r>
          </w:p>
        </w:tc>
      </w:tr>
      <w:tr>
        <w:trPr>
          <w:trHeight w:val="216"/>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4"/>
              </w:rPr>
              <w:t>subsidiaries as Borrowers, JPMorgan Chase Bank, N.A., as Administrative Agent and U.S. Collateral Agent, JPMorgan Chase Bank</w:t>
            </w:r>
          </w:p>
        </w:tc>
      </w:tr>
      <w:tr>
        <w:trPr>
          <w:trHeight w:val="222"/>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9"/>
              </w:rPr>
              <w:t>N.A., London Branch, as European Administrative and European Collateral Agent, and the other lenders referred to therein.**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Employment Offer Letter Agreement between Office Depot, Inc. and Daisy Vanderlinde dated September 14, 2005*</w:t>
            </w: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8"/>
              </w:rPr>
              <w:t>Amendment to Employment Offer Letter Agreement between Office Depot, Inc. and Daisy Vanderlinde effective December 31,</w:t>
            </w:r>
          </w:p>
        </w:tc>
      </w:tr>
      <w:tr>
        <w:trPr>
          <w:trHeight w:val="222"/>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2008*</w:t>
            </w:r>
          </w:p>
        </w:tc>
        <w:tc>
          <w:tcPr>
            <w:tcW w:w="560" w:type="dxa"/>
            <w:vAlign w:val="bottom"/>
          </w:tcPr>
          <w:p>
            <w:pPr>
              <w:spacing w:after="0"/>
              <w:rPr>
                <w:sz w:val="19"/>
                <w:szCs w:val="19"/>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10.37</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Separation Agreement between Office Depot, Inc. and Daisy Vanderlinde dated September 1, 2011.*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10.38</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Letter Agreement between Office Depot, Inc. and Elisa D. Garcia dated May 15, 2007.*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10.39</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Amendment to Letter Agreement between Office Depot, Inc. and Elisa D. Garcia effective December 31, 2008.*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10.40</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Retention Agreement between Office Depot, Inc. and Elisa D. Garcia dated November 2, 2010.*</w:t>
            </w: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10.41</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7"/>
              </w:rPr>
              <w:t>First Amendment, dated February 24, 2012, to the Amended and Restated Credit Agreement, dated as of May 25, 2011, among</w:t>
            </w:r>
          </w:p>
        </w:tc>
      </w:tr>
      <w:tr>
        <w:trPr>
          <w:trHeight w:val="216"/>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4"/>
              </w:rPr>
              <w:t>Office Depot, Inc. and certain of its European subsidiaries as Borrowers, JPMorgan Chase Bank, N.A., as Administrative Agent and</w:t>
            </w:r>
          </w:p>
        </w:tc>
      </w:tr>
      <w:tr>
        <w:trPr>
          <w:trHeight w:val="216"/>
        </w:trPr>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6"/>
              </w:rPr>
              <w:t>U.S. Collateral Agent, JPMorgan Chase Bank N.A., London Branch, as European Administrative and European Collateral Agent,</w:t>
            </w:r>
          </w:p>
        </w:tc>
      </w:tr>
      <w:tr>
        <w:trPr>
          <w:trHeight w:val="222"/>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and the other lenders referred to therein.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List of Office Depot, Inc.’s Subsidiaries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Consent of Independent Auditors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Certification of CEO required by Securities and Exchange Commission Rule 13a-14(a) or 15d-14(a)</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Certification of CFO required by Securities and Exchange Commission Rule 13a-14(a) or 15d-14(a)</w:t>
            </w: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Certification of CEO and CFO Pursuant to 18 U.S.C. Section 1350, as Adopted Pursuant to Section 906 of the Sarbanes-Oxley Act</w:t>
            </w:r>
          </w:p>
        </w:tc>
      </w:tr>
      <w:tr>
        <w:trPr>
          <w:trHeight w:val="222"/>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of 2002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24"/>
                <w:szCs w:val="24"/>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Consolidated financial statements of Office Depot de Mexico, S. A. de C. V. and Subsidiaries</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0" w:lineRule="exact"/>
        <w:rPr>
          <w:sz w:val="20"/>
          <w:szCs w:val="20"/>
          <w:color w:val="auto"/>
        </w:rPr>
      </w:pPr>
    </w:p>
    <w:p>
      <w:pPr>
        <w:ind w:left="4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Denotes that confidential portions of this exhibit have been omitted in reliance on Rule 24b-2 of the Securities Exchange Act of 1934. The confidential portions have been submitted separately to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annex to the Proxy Statement for Office Depot, Inc.’s 1995 Annual Meeting of Stockholders, filed with the SEC on April 20, 1995.</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exhibit to Office Depot, Inc.’s Registration Statement No. 33-39473 on Form S-4, filed with the SEC on March 15, 1991.</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exhibit to Office Depot, Inc.’s Registration Statement No. 333-108602 on Form S-4, filed with the SEC on September 8, 2003.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October 27, 2003.</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appendix to the Proxy Statement for Office Depot, Inc.’s 2007 Annual Meeting of Shareholders, filed with the SEC on April 2,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November 10, 1998</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exhibit to Office Depot, Inc.’s Annual Report on Form 10-K for the year ended December 29, 2001, filed with the SEC on March 19, 2002.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April 29,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August 1,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February 22,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October 29, 2008.</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the respective appendix to the Proxy Statement for Office Depot, Inc.’s 2008 Annual Meeting of Shareholders, filed with the SEC on March 13, 2008.</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Annual Report on Form 10-K for the year ended December 30, 2000, filed with the SEC on March 27, 2001.</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Annual Report on Form 10-K for the year ended December 27, 2008, filed with the SEC on February 24,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June 23,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July 28,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Incorporated by reference from the Proxy Statement for Office Depot, Inc.’s 2004 Annual Meeting of Shareholders, filed with the SEC on April 1, 2004.</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April 26,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November 2,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November 8,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December 21,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Annual Report on Form 10-K for the year ended December 26, 2009, filed with the SEC on February 23, 2010.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April 1,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April, 25,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May 23,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Current Report on Form 8-K, filed with the SEC on July 25,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Incorporated by reference from Office Depot, Inc.’s Quarterly Report on Form 10-Q, filed with the SEC on July 26,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Upon request, we will furnish a copy of any exhibit to this report upon the payment of reasonable copying and mailing expenses.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4"/>
          <w:szCs w:val="14"/>
          <w:b w:val="1"/>
          <w:bCs w:val="1"/>
          <w:color w:val="auto"/>
        </w:rPr>
        <w:t>DEPOT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September 8,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Daisy Vanderlinde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PERSONAL AND CONFIDENTIAL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Daisy:</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It is with great pleasure that I offer you the position of Executive Vice President, Human Resources at Office Depot, Inc. We are looking forward to your participation on our team in this role. This letter sets forth the terms of the offer.</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Human Resources</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Location: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Corporate Headquarters, Delray Beach, FL</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Start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October 31, 2005</w:t>
      </w:r>
    </w:p>
    <w:p>
      <w:pPr>
        <w:spacing w:after="0" w:line="205"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Salary: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$416,000 per annum.</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Bonus Opportunity: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You will be eligible to participate in the Corporate Bonus Program, with a target bonus percentage equal to 60% of your base salary. In order to be entitled to a bonus for any fiscal year, you generally must remain employed when the bonuses are distributed. In addition to participation in the annual bonus program beginning in 2006, you will receive a guaranteed bonus calculated at target, prorated for the period of your employment during 2005.</w:t>
      </w:r>
    </w:p>
    <w:p>
      <w:pPr>
        <w:spacing w:after="0" w:line="161"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Stock Compensation:</w:t>
      </w:r>
    </w:p>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6"/>
          <w:szCs w:val="16"/>
          <w:color w:val="auto"/>
        </w:rPr>
        <w:t>You will be eligible to participate in Office Depot’s Long-Term Equity Incentive Plan commensurate with your position, beginning in the first quarter of 2006. The specific number, type and value of stock-based awards are determined annually by the Compensation Committee of the Board of Directors. If you had received a grant in 2005 at your level, the award would have been 40,000 stock options and 20,000 performance contingent restricted shares. The ratio of options to restricted stock may change in the future, but you will always receive an award that is appropriate to your level among our senior executives.</w:t>
      </w:r>
    </w:p>
    <w:p>
      <w:pPr>
        <w:spacing w:after="0" w:line="12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2200 Old Germantown Road, Delray Beach, FL 33445 tel. 561-438-4800</w:t>
      </w:r>
    </w:p>
    <w:p>
      <w:pPr>
        <w:sectPr>
          <w:pgSz w:w="11900" w:h="16838" w:orient="portrait"/>
          <w:cols w:equalWidth="0" w:num="1">
            <w:col w:w="11420"/>
          </w:cols>
          <w:pgMar w:left="240" w:top="125" w:right="23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0"/>
              </w:rPr>
              <w:t>I also will recommend to the Compensation Committee of the Board of Directors that you receive a special one-</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89"/>
              </w:rPr>
              <w:t>time award of 170,000 stock options and an award of 19,000 time vested restricted shares. Each of these awards</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1"/>
              </w:rPr>
              <w:t>will contain vesting terms and other terms that are comparable to awards granted to our other senior executive</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88"/>
              </w:rPr>
              <w:t>officers. Naturally, the Compensation Committee reserves the right to alter the specific terms of our compensation</w:t>
            </w:r>
          </w:p>
        </w:tc>
      </w:tr>
      <w:tr>
        <w:trPr>
          <w:trHeight w:val="222"/>
        </w:trPr>
        <w:tc>
          <w:tcPr>
            <w:tcW w:w="334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plans at any time in the future.</w:t>
            </w:r>
          </w:p>
        </w:tc>
      </w:tr>
      <w:tr>
        <w:trPr>
          <w:trHeight w:val="426"/>
        </w:trPr>
        <w:tc>
          <w:tcPr>
            <w:tcW w:w="334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060" w:type="dxa"/>
            <w:vAlign w:val="bottom"/>
            <w:gridSpan w:val="3"/>
          </w:tcPr>
          <w:p>
            <w:pPr>
              <w:spacing w:after="0"/>
              <w:rPr>
                <w:sz w:val="20"/>
                <w:szCs w:val="20"/>
                <w:color w:val="auto"/>
              </w:rPr>
            </w:pPr>
            <w:r>
              <w:rPr>
                <w:rFonts w:ascii="Arial" w:cs="Arial" w:eastAsia="Arial" w:hAnsi="Arial"/>
                <w:sz w:val="18"/>
                <w:szCs w:val="18"/>
                <w:color w:val="auto"/>
                <w:w w:val="94"/>
              </w:rPr>
              <w:t>You will participate in Office Depot’s group benefit programs. You will also be eligible to participate in Office</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8"/>
              </w:rPr>
              <w:t>Depot’s Executive Car Allowance Program at the level appropriate to your position. You will receive the</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4"/>
              </w:rPr>
              <w:t>relocation benefits we provide to senior executives at your level in relocating from outside the area to South</w:t>
            </w:r>
          </w:p>
        </w:tc>
      </w:tr>
      <w:tr>
        <w:trPr>
          <w:trHeight w:val="216"/>
        </w:trPr>
        <w:tc>
          <w:tcPr>
            <w:tcW w:w="334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7"/>
              </w:rPr>
              <w:t>Florida. In addition, you will be reimbursed for airfare for up to two round trips per month to your home in</w:t>
            </w:r>
          </w:p>
        </w:tc>
      </w:tr>
      <w:tr>
        <w:trPr>
          <w:trHeight w:val="222"/>
        </w:trPr>
        <w:tc>
          <w:tcPr>
            <w:tcW w:w="334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California (i.e. every other weekend) during the first six months of employment.</w:t>
            </w:r>
          </w:p>
        </w:tc>
      </w:tr>
      <w:tr>
        <w:trPr>
          <w:trHeight w:val="394"/>
        </w:trPr>
        <w:tc>
          <w:tcPr>
            <w:tcW w:w="3340" w:type="dxa"/>
            <w:vAlign w:val="bottom"/>
          </w:tcPr>
          <w:p>
            <w:pPr>
              <w:spacing w:after="0"/>
              <w:rPr>
                <w:sz w:val="20"/>
                <w:szCs w:val="20"/>
                <w:color w:val="auto"/>
              </w:rPr>
            </w:pPr>
            <w:r>
              <w:rPr>
                <w:rFonts w:ascii="Arial" w:cs="Arial" w:eastAsia="Arial" w:hAnsi="Arial"/>
                <w:sz w:val="18"/>
                <w:szCs w:val="18"/>
                <w:b w:val="1"/>
                <w:bCs w:val="1"/>
                <w:color w:val="auto"/>
              </w:rPr>
              <w:t>Non Compete Agreement:</w:t>
            </w:r>
          </w:p>
        </w:tc>
        <w:tc>
          <w:tcPr>
            <w:tcW w:w="8060" w:type="dxa"/>
            <w:vAlign w:val="bottom"/>
            <w:gridSpan w:val="3"/>
          </w:tcPr>
          <w:p>
            <w:pPr>
              <w:spacing w:after="0"/>
              <w:rPr>
                <w:sz w:val="20"/>
                <w:szCs w:val="20"/>
                <w:color w:val="auto"/>
              </w:rPr>
            </w:pPr>
            <w:r>
              <w:rPr>
                <w:rFonts w:ascii="Arial" w:cs="Arial" w:eastAsia="Arial" w:hAnsi="Arial"/>
                <w:sz w:val="18"/>
                <w:szCs w:val="18"/>
                <w:color w:val="auto"/>
                <w:w w:val="87"/>
              </w:rPr>
              <w:t xml:space="preserve">As a condition to your commencement of employment, you must enter into the agreement attached as </w:t>
            </w:r>
            <w:r>
              <w:rPr>
                <w:rFonts w:ascii="Arial" w:cs="Arial" w:eastAsia="Arial" w:hAnsi="Arial"/>
                <w:sz w:val="18"/>
                <w:szCs w:val="18"/>
                <w:b w:val="1"/>
                <w:bCs w:val="1"/>
                <w:color w:val="auto"/>
                <w:w w:val="87"/>
              </w:rPr>
              <w:t>Attachment</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8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0"/>
              </w:rPr>
              <w:t>A</w:t>
            </w:r>
            <w:r>
              <w:rPr>
                <w:rFonts w:ascii="Arial" w:cs="Arial" w:eastAsia="Arial" w:hAnsi="Arial"/>
                <w:sz w:val="18"/>
                <w:szCs w:val="18"/>
                <w:color w:val="auto"/>
                <w:w w:val="90"/>
              </w:rPr>
              <w:t>, which restricts you from competing, soliciting customers or employees, or disclosing confidential information.</w:t>
            </w:r>
          </w:p>
        </w:tc>
      </w:tr>
      <w:tr>
        <w:trPr>
          <w:trHeight w:val="20"/>
        </w:trPr>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00"/>
          </w:cols>
          <w:pgMar w:left="240" w:top="847"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1" w:name="page162"/>
    <w:bookmarkEnd w:id="161"/>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b w:val="1"/>
                <w:bCs w:val="1"/>
                <w:color w:val="auto"/>
              </w:rPr>
              <w:t>Employment at Will; Severance:</w:t>
            </w: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9"/>
              </w:rPr>
              <w:t>Your employment will be at will, meaning that it can be terminated by either of us at any time and for any reason.</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8500" w:type="dxa"/>
            <w:vAlign w:val="bottom"/>
            <w:gridSpan w:val="7"/>
          </w:tcPr>
          <w:p>
            <w:pPr>
              <w:ind w:left="460"/>
              <w:spacing w:after="0" w:line="184" w:lineRule="exact"/>
              <w:rPr>
                <w:sz w:val="20"/>
                <w:szCs w:val="20"/>
                <w:color w:val="auto"/>
              </w:rPr>
            </w:pPr>
            <w:r>
              <w:rPr>
                <w:rFonts w:ascii="Arial" w:cs="Arial" w:eastAsia="Arial" w:hAnsi="Arial"/>
                <w:sz w:val="18"/>
                <w:szCs w:val="18"/>
                <w:color w:val="auto"/>
                <w:w w:val="96"/>
              </w:rPr>
              <w:t>However, if your employment is involuntarily terminated by the Company (other than (i) by reason of your</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80" w:type="dxa"/>
            <w:vAlign w:val="bottom"/>
          </w:tcPr>
          <w:p>
            <w:pPr>
              <w:spacing w:after="0"/>
              <w:rPr>
                <w:sz w:val="19"/>
                <w:szCs w:val="19"/>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3"/>
              </w:rPr>
              <w:t>disability, (ii) by reason of your continued failure to substantially perform your duties with the Company after</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6"/>
              </w:rPr>
              <w:t>written notice is delivered, (iii) by reason of your engaging in illegal conduct or any other conduct which is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3"/>
              </w:rPr>
              <w:t>materially injurious to the Company or which violates the Code of Ethical Behavior of the Company or which</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4"/>
              </w:rPr>
              <w:t>violates any other material policy of the Company, or (iv) on any anniversary of your hire date, provided the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8"/>
              </w:rPr>
              <w:t>Company has given you at least 90 days notice of such termination), then you will be entitled to receive continued</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0"/>
              </w:rPr>
              <w:t>base salary and reimbursement of COBRA premiums in excess of applicable active employee co-premiums for</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3"/>
              </w:rPr>
              <w:t>eighteen months following your termination, as well as a sum equal to 1.5 times your annual bonus at target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5"/>
              </w:rPr>
              <w:t>payable over 18-month period (provided that you have not violated your non-compete agreement with the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3"/>
              </w:rPr>
              <w:t>Company and in lieu of any other bonus of any sort whatsoever with respect to the year in which termination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9"/>
              </w:rPr>
              <w:t>occurs). In addition, upon termination for which you are entitled to the forgoing benefits, you will have a period of</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9"/>
              </w:rPr>
              <w:t>18 months from date of termination in which to exercise any vested stock options. These severance entitlements</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3"/>
              </w:rPr>
              <w:t>will be conditional upon your execution of a release of claims against Office Depot and its affiliates, and your</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500" w:type="dxa"/>
            <w:vAlign w:val="bottom"/>
            <w:gridSpan w:val="7"/>
          </w:tcPr>
          <w:p>
            <w:pPr>
              <w:ind w:left="460"/>
              <w:spacing w:after="0" w:line="190" w:lineRule="exact"/>
              <w:rPr>
                <w:sz w:val="20"/>
                <w:szCs w:val="20"/>
                <w:color w:val="auto"/>
              </w:rPr>
            </w:pPr>
            <w:r>
              <w:rPr>
                <w:rFonts w:ascii="Arial" w:cs="Arial" w:eastAsia="Arial" w:hAnsi="Arial"/>
                <w:sz w:val="18"/>
                <w:szCs w:val="18"/>
                <w:color w:val="auto"/>
                <w:w w:val="95"/>
              </w:rPr>
              <w:t xml:space="preserve">compliance with the covenants contained in </w:t>
            </w:r>
            <w:r>
              <w:rPr>
                <w:rFonts w:ascii="Arial" w:cs="Arial" w:eastAsia="Arial" w:hAnsi="Arial"/>
                <w:sz w:val="18"/>
                <w:szCs w:val="18"/>
                <w:b w:val="1"/>
                <w:bCs w:val="1"/>
                <w:color w:val="auto"/>
                <w:w w:val="95"/>
              </w:rPr>
              <w:t>Attachment A</w:t>
            </w:r>
            <w:r>
              <w:rPr>
                <w:rFonts w:ascii="Arial" w:cs="Arial" w:eastAsia="Arial" w:hAnsi="Arial"/>
                <w:sz w:val="18"/>
                <w:szCs w:val="18"/>
                <w:color w:val="auto"/>
                <w:w w:val="95"/>
              </w:rPr>
              <w:t>. Although your job duties, title, compensation,</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80" w:type="dxa"/>
            <w:vAlign w:val="bottom"/>
          </w:tcPr>
          <w:p>
            <w:pPr>
              <w:spacing w:after="0"/>
              <w:rPr>
                <w:sz w:val="19"/>
                <w:szCs w:val="19"/>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0"/>
              </w:rPr>
              <w:t>benefits, or the Company’s policies, practices and procedures may change from time to time, the “at-will” nature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9"/>
              </w:rPr>
              <w:t>of your employment may only be changed in an express writing signed by you and the Chief Executive Officer of</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26"/>
        </w:trPr>
        <w:tc>
          <w:tcPr>
            <w:tcW w:w="2880" w:type="dxa"/>
            <w:vAlign w:val="bottom"/>
          </w:tcPr>
          <w:p>
            <w:pPr>
              <w:spacing w:after="0"/>
              <w:rPr>
                <w:sz w:val="20"/>
                <w:szCs w:val="20"/>
                <w:color w:val="auto"/>
              </w:rPr>
            </w:pPr>
            <w:r>
              <w:rPr>
                <w:rFonts w:ascii="Arial" w:cs="Arial" w:eastAsia="Arial" w:hAnsi="Arial"/>
                <w:sz w:val="18"/>
                <w:szCs w:val="18"/>
                <w:b w:val="1"/>
                <w:bCs w:val="1"/>
                <w:color w:val="auto"/>
              </w:rPr>
              <w:t>Arbitration:</w:t>
            </w: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0"/>
              </w:rPr>
              <w:t>Except as to the right of the Company to resort to any court of competent jurisdiction to obtain injunctive relief or</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89"/>
              </w:rPr>
              <w:t>specific enforcement of your obligations contained in Attachment A, any dispute or controversy between you and</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6"/>
              </w:rPr>
              <w:t>the Company arising out of or relating to your employment, including but not limited to disputes involving</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5"/>
              </w:rPr>
              <w:t>discrimination arising under common law, and/or federal, state and local laws, will be settled by arbitration</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w w:val="90"/>
              </w:rPr>
              <w:t>administered by the American Arbitration Association (“AAA”) in accordance with the arbitration clause attached</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500" w:type="dxa"/>
            <w:vAlign w:val="bottom"/>
            <w:gridSpan w:val="7"/>
          </w:tcPr>
          <w:p>
            <w:pPr>
              <w:ind w:left="46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Attachment B</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Indemnification:</w:t>
            </w:r>
          </w:p>
        </w:tc>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880" w:type="dxa"/>
            <w:vAlign w:val="bottom"/>
            <w:vMerge w:val="continue"/>
          </w:tcPr>
          <w:p>
            <w:pPr>
              <w:spacing w:after="0"/>
              <w:rPr>
                <w:sz w:val="24"/>
                <w:szCs w:val="24"/>
                <w:color w:val="auto"/>
              </w:rPr>
            </w:pPr>
          </w:p>
        </w:tc>
        <w:tc>
          <w:tcPr>
            <w:tcW w:w="8500" w:type="dxa"/>
            <w:vAlign w:val="bottom"/>
            <w:gridSpan w:val="7"/>
          </w:tcPr>
          <w:p>
            <w:pPr>
              <w:ind w:left="460"/>
              <w:spacing w:after="0"/>
              <w:rPr>
                <w:sz w:val="20"/>
                <w:szCs w:val="20"/>
                <w:color w:val="auto"/>
              </w:rPr>
            </w:pPr>
            <w:r>
              <w:rPr>
                <w:rFonts w:ascii="Arial" w:cs="Arial" w:eastAsia="Arial" w:hAnsi="Arial"/>
                <w:sz w:val="18"/>
                <w:szCs w:val="18"/>
                <w:color w:val="auto"/>
              </w:rPr>
              <w:t>In accordance with Article VI of Company Bylaws.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841"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2" w:name="page163"/>
    <w:bookmarkEnd w:id="1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Employee Non-Competition, Confidentiality and Non-Solicitation Agreement</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Agreement of Non-Competition, Confidentiality and Non-Solicitation (this “Agreement”) is made and entered into as of the 19</w:t>
      </w:r>
      <w:r>
        <w:rPr>
          <w:rFonts w:ascii="Arial" w:cs="Arial" w:eastAsia="Arial" w:hAnsi="Arial"/>
          <w:sz w:val="11"/>
          <w:szCs w:val="11"/>
          <w:color w:val="auto"/>
        </w:rPr>
        <w:t>th</w:t>
      </w:r>
      <w:r>
        <w:rPr>
          <w:rFonts w:ascii="Arial" w:cs="Arial" w:eastAsia="Arial" w:hAnsi="Arial"/>
          <w:sz w:val="18"/>
          <w:szCs w:val="18"/>
          <w:color w:val="auto"/>
        </w:rPr>
        <w:t xml:space="preserve"> day of Sept, 2005 between Office Depot, Inc., a Delaware corporation (the “Company”) and Daisy Vanderlinde (the “Executive”).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In consideration of the mutual covenants contained herein and other good and valuable consideration, including the compensation to be paid to Executive and the benefits to be received by Employee, the receipt and sufficiency of which are hereby acknowledged, the parties hereby agree as follows:</w:t>
      </w:r>
    </w:p>
    <w:p>
      <w:pPr>
        <w:spacing w:after="0" w:line="1" w:lineRule="exact"/>
        <w:rPr>
          <w:sz w:val="20"/>
          <w:szCs w:val="20"/>
          <w:color w:val="auto"/>
        </w:rPr>
      </w:pPr>
    </w:p>
    <w:p>
      <w:pPr>
        <w:ind w:left="460" w:hanging="452"/>
        <w:spacing w:after="0" w:line="289"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acknowledges that in the course of Executive’s employment with the Company, Executive shall become familiar</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trade secrets and other information, observations and data obtained by Executive while in the employ of the Company (“Confidential Information”) concerning the Company and its Subsidiaries. Executive acknowledges that such Confidential Information is the unique and special property of the Company. Executive agrees that she shall not disclose to any unauthorized person, or use for Executive’s own purposes and benefit, any Confidential Information without the prior written consent of the Company, unless and to the extent that the aforementioned matters become generally known to and available for use by the public, other than as a result of Executive’s breach of this Agreement At the termination of Executive’s employment, she shall return to the Company, or at any other time at the Company’s request, all memoranda, notes, plans, records, reports, computer tapes, printouts and software or other documents and data (and copies thereof) relating to the Confidential Information or the business of the Company or any Subsidiary of the Company that Executive may possess or have under her control.</w:t>
      </w:r>
    </w:p>
    <w:p>
      <w:pPr>
        <w:spacing w:after="0" w:line="31" w:lineRule="exact"/>
        <w:rPr>
          <w:rFonts w:ascii="Arial" w:cs="Arial" w:eastAsia="Arial" w:hAnsi="Arial"/>
          <w:sz w:val="16"/>
          <w:szCs w:val="16"/>
          <w:color w:val="auto"/>
        </w:rPr>
      </w:pPr>
    </w:p>
    <w:p>
      <w:pPr>
        <w:ind w:left="460" w:right="240" w:hanging="452"/>
        <w:spacing w:after="0" w:line="262"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 of Non-Competition; Non-Solicitation; No-Hire; Non-Interference</w:t>
      </w:r>
      <w:r>
        <w:rPr>
          <w:rFonts w:ascii="Arial" w:cs="Arial" w:eastAsia="Arial" w:hAnsi="Arial"/>
          <w:sz w:val="18"/>
          <w:szCs w:val="18"/>
          <w:b w:val="1"/>
          <w:bCs w:val="1"/>
          <w:color w:val="auto"/>
        </w:rPr>
        <w:t xml:space="preserve">. </w:t>
      </w:r>
      <w:r>
        <w:rPr>
          <w:rFonts w:ascii="Arial" w:cs="Arial" w:eastAsia="Arial" w:hAnsi="Arial"/>
          <w:sz w:val="18"/>
          <w:szCs w:val="18"/>
          <w:color w:val="auto"/>
        </w:rPr>
        <w:t>(a) During the period of time during Executive’s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for a period of eighteen (18) months following the termination of that employment, for whatever reason (or without reason) (the “Noncompete Period”), Executive shall not Executive shall not directly or</w:t>
      </w:r>
    </w:p>
    <w:p>
      <w:pPr>
        <w:sectPr>
          <w:pgSz w:w="11900" w:h="16838" w:orient="portrait"/>
          <w:cols w:equalWidth="0" w:num="1">
            <w:col w:w="11380"/>
          </w:cols>
          <w:pgMar w:left="240" w:top="274" w:right="279" w:bottom="1440" w:gutter="0" w:footer="0" w:header="0"/>
        </w:sectPr>
      </w:pPr>
    </w:p>
    <w:bookmarkStart w:id="163" w:name="page164"/>
    <w:bookmarkEnd w:id="163"/>
    <w:p>
      <w:pPr>
        <w:ind w:left="45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indirectly own any interest in, manage, control, participate in, consult with, render services for, or in any manner engage in any business competing with the businesses of the Company or its Subsidiaries, as such businesses exist or are in process on the date of the termination of Executive’s employment with the Company, within any geographical area in which the Company or its Subsidiaries engage in such businesses on the date of termination of Executive’s employment with the Company. Examples of such businesses include, but are not limited to, Staples, OfficeMax and Corporate Express. Nothing herein shall prohibit Executive from being a passive owner of not more than 2% of the outstanding stock of any class of a corporation which is publicly traded, so long as Executive has no active participation in the business of such corporation.</w:t>
      </w:r>
    </w:p>
    <w:p>
      <w:pPr>
        <w:spacing w:after="0" w:line="39" w:lineRule="exact"/>
        <w:rPr>
          <w:sz w:val="20"/>
          <w:szCs w:val="20"/>
          <w:color w:val="auto"/>
        </w:rPr>
      </w:pPr>
    </w:p>
    <w:p>
      <w:pPr>
        <w:ind w:left="452" w:right="80" w:firstLine="4"/>
        <w:spacing w:after="0" w:line="290" w:lineRule="auto"/>
        <w:tabs>
          <w:tab w:leader="none" w:pos="701" w:val="left"/>
        </w:tabs>
        <w:numPr>
          <w:ilvl w:val="1"/>
          <w:numId w:val="97"/>
        </w:numPr>
        <w:rPr>
          <w:rFonts w:ascii="Arial" w:cs="Arial" w:eastAsia="Arial" w:hAnsi="Arial"/>
          <w:sz w:val="16"/>
          <w:szCs w:val="16"/>
          <w:color w:val="auto"/>
        </w:rPr>
      </w:pPr>
      <w:r>
        <w:rPr>
          <w:rFonts w:ascii="Arial" w:cs="Arial" w:eastAsia="Arial" w:hAnsi="Arial"/>
          <w:sz w:val="16"/>
          <w:szCs w:val="16"/>
          <w:color w:val="auto"/>
        </w:rPr>
        <w:t>During the Noncompete Period, Executive shall not directly, or indirectly through another entity, (i) induce or attempt to induce any employee of the Company or any Subsidiary to leave the employ of the Company or such Subsidiary, or in any way interfere with the relationship between the Company or any Subsidiary and any employee thereof, (ii) hire any person who was an employee of the Company or any Subsidiary at the time of termination of the Employment Term or (iii) induce or attempt to induce any customer, supplier, licensee, licensor, franchisee or other business relation of the Company or any Subsidiary to cease doing business with the Company or such Subsidiary, or in any way interfere with the relationship between any such customer, supplier, licensee or business relation and the Company or any Subsidiary (including, without limitation, making any negative statements or communications about the Company or its Subsidiaries).</w:t>
      </w:r>
    </w:p>
    <w:p>
      <w:pPr>
        <w:spacing w:after="0" w:line="31" w:lineRule="exact"/>
        <w:rPr>
          <w:rFonts w:ascii="Arial" w:cs="Arial" w:eastAsia="Arial" w:hAnsi="Arial"/>
          <w:sz w:val="16"/>
          <w:szCs w:val="16"/>
          <w:color w:val="auto"/>
        </w:rPr>
      </w:pPr>
    </w:p>
    <w:p>
      <w:pPr>
        <w:ind w:left="452" w:right="40" w:hanging="452"/>
        <w:spacing w:after="0" w:line="313" w:lineRule="auto"/>
        <w:tabs>
          <w:tab w:leader="none" w:pos="452" w:val="left"/>
        </w:tabs>
        <w:numPr>
          <w:ilvl w:val="0"/>
          <w:numId w:val="98"/>
        </w:numPr>
        <w:rPr>
          <w:rFonts w:ascii="Arial" w:cs="Arial" w:eastAsia="Arial" w:hAnsi="Arial"/>
          <w:sz w:val="15"/>
          <w:szCs w:val="15"/>
          <w:color w:val="auto"/>
        </w:rPr>
      </w:pPr>
      <w:r>
        <w:rPr>
          <w:rFonts w:ascii="Arial" w:cs="Arial" w:eastAsia="Arial" w:hAnsi="Arial"/>
          <w:sz w:val="15"/>
          <w:szCs w:val="15"/>
          <w:b w:val="1"/>
          <w:bCs w:val="1"/>
          <w:u w:val="single" w:color="auto"/>
          <w:color w:val="auto"/>
        </w:rPr>
        <w:t>Reformation of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enforced to the fullest extent permitted by the law in the state in which Employee resides at the</w:t>
      </w:r>
      <w:r>
        <w:rPr>
          <w:rFonts w:ascii="Arial" w:cs="Arial" w:eastAsia="Arial" w:hAnsi="Arial"/>
          <w:sz w:val="15"/>
          <w:szCs w:val="15"/>
          <w:b w:val="1"/>
          <w:bCs w:val="1"/>
          <w:color w:val="auto"/>
        </w:rPr>
        <w:t xml:space="preserve"> </w:t>
      </w:r>
      <w:r>
        <w:rPr>
          <w:rFonts w:ascii="Arial" w:cs="Arial" w:eastAsia="Arial" w:hAnsi="Arial"/>
          <w:sz w:val="15"/>
          <w:szCs w:val="15"/>
          <w:color w:val="auto"/>
        </w:rPr>
        <w:t>time of the enforcement hereof. If, at the time of enforcement of this Agreement, any court shall hold that the duration, scope or geographical restrictions stated herein are unreasonable under the circumstances then existing, the parties agree that it is their mutual desire and intent that the Company shall be afforded the maximum duration, scope or area reasonable under such circumstances, and each of them hereby requests such court to reform this Agreement so that the maximum duration, scope and geographical restrictions available under applicable law at the time of enforcement of this Agreement shall be substituted by such court for the stated duration, scope or geographical area stated herein and that the court shall be allowed to revise the restrictions contained in this Noncompete Agreement to such provisions as are deemed reasonable by the court at the time such enforcement is requested.</w:t>
      </w:r>
    </w:p>
    <w:p>
      <w:pPr>
        <w:sectPr>
          <w:pgSz w:w="11900" w:h="16838" w:orient="portrait"/>
          <w:cols w:equalWidth="0" w:num="1">
            <w:col w:w="11412"/>
          </w:cols>
          <w:pgMar w:left="248" w:top="280" w:right="239" w:bottom="1440" w:gutter="0" w:footer="0" w:header="0"/>
        </w:sectPr>
      </w:pPr>
    </w:p>
    <w:bookmarkStart w:id="164" w:name="page165"/>
    <w:bookmarkEnd w:id="164"/>
    <w:p>
      <w:pPr>
        <w:ind w:left="452" w:right="140" w:hanging="452"/>
        <w:spacing w:after="0" w:line="254"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Injunctive Relief</w:t>
      </w:r>
      <w:r>
        <w:rPr>
          <w:rFonts w:ascii="Arial" w:cs="Arial" w:eastAsia="Arial" w:hAnsi="Arial"/>
          <w:sz w:val="18"/>
          <w:szCs w:val="18"/>
          <w:color w:val="auto"/>
        </w:rPr>
        <w:t>. In the event of the breach or any threatened breach by Executive of any of the provisions of this Agreement, the Company,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supplementary to any and all other rights and remedies existing in its favor, may apply to any court of law or equity of competent jurisdiction for specific performance and/or injunctive or other relief in order to enforce this Noncompete Agreement or to prevent any violations or threatened violations of the provisions hereof (without being required to post any bond or other security to secure such relief). In addition, in the event of any alleged breach or violation by Executive of this Agreement, the Noncompete Period shall be tolled until such breach or violation has been duly cured and thereafter the Noncompete Period shall be extended for an additional period of time equivalent to the time during which Executive was in breach of this Noncompete Agreement.</w:t>
      </w:r>
    </w:p>
    <w:p>
      <w:pPr>
        <w:spacing w:after="0" w:line="60"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99"/>
        </w:numPr>
        <w:rPr>
          <w:rFonts w:ascii="Arial" w:cs="Arial" w:eastAsia="Arial" w:hAnsi="Arial"/>
          <w:sz w:val="16"/>
          <w:szCs w:val="16"/>
          <w:color w:val="auto"/>
        </w:rPr>
      </w:pPr>
      <w:r>
        <w:rPr>
          <w:rFonts w:ascii="Arial" w:cs="Arial" w:eastAsia="Arial" w:hAnsi="Arial"/>
          <w:sz w:val="16"/>
          <w:szCs w:val="16"/>
          <w:b w:val="1"/>
          <w:bCs w:val="1"/>
          <w:u w:val="single" w:color="auto"/>
          <w:color w:val="auto"/>
        </w:rPr>
        <w:t>Executive’s Representations</w:t>
      </w:r>
      <w:r>
        <w:rPr>
          <w:rFonts w:ascii="Arial" w:cs="Arial" w:eastAsia="Arial" w:hAnsi="Arial"/>
          <w:sz w:val="16"/>
          <w:szCs w:val="16"/>
          <w:color w:val="auto"/>
        </w:rPr>
        <w:t>. Executive hereby represents and warrants to the Company that (i) the execution, delivery and performance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by Executive do not and shall not conflict with, breach, violate or cause a default under any contract agreement, instrument, order, judgment or decree to which Executive is a party or by which Executive is bound, except as previously disclosed to the Company, (ii) Executive is not a party to or bound by any employment agreement noncompete agreement or confidentiality agreement with any other person or entity, except as previously disclosed to the Company, and (iii) upon the execution and delivery of this Agreement by the Company, this Agreement shall be the valid and binding obligation of Executive, enforceable in accordance with its terms. Executive hereby acknowledges and represents that Executive has had an opportunity to consult with independent legal counsel regarding Executive’s rights and obligations under this Agreement and that Executive fully understands the terms and conditions contained herein.</w:t>
      </w:r>
    </w:p>
    <w:p>
      <w:pPr>
        <w:spacing w:after="0" w:line="31" w:lineRule="exact"/>
        <w:rPr>
          <w:rFonts w:ascii="Arial" w:cs="Arial" w:eastAsia="Arial" w:hAnsi="Arial"/>
          <w:sz w:val="16"/>
          <w:szCs w:val="16"/>
          <w:color w:val="auto"/>
        </w:rPr>
      </w:pPr>
    </w:p>
    <w:p>
      <w:pPr>
        <w:ind w:left="452" w:right="40" w:hanging="452"/>
        <w:spacing w:after="0" w:line="262"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survive and continue in full force in accordance with its terms notwithstanding any termination of employment. Nothing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deemed to imply any obligation of continued employment of Employee by the Company which employment shall be “at will” unless otherwise specifically agreed in writing.</w:t>
      </w:r>
    </w:p>
    <w:p>
      <w:pPr>
        <w:sectPr>
          <w:pgSz w:w="11900" w:h="16838" w:orient="portrait"/>
          <w:cols w:equalWidth="0" w:num="1">
            <w:col w:w="11392"/>
          </w:cols>
          <w:pgMar w:left="248" w:top="274" w:right="259" w:bottom="1440" w:gutter="0" w:footer="0" w:header="0"/>
        </w:sectPr>
      </w:pPr>
    </w:p>
    <w:bookmarkStart w:id="165" w:name="page166"/>
    <w:bookmarkEnd w:id="165"/>
    <w:p>
      <w:pPr>
        <w:ind w:left="452" w:right="140" w:hanging="452"/>
        <w:spacing w:after="0" w:line="275" w:lineRule="auto"/>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provided for in this Agreement shall be in writing and shall be either personally delivered, or mailed by first class mail, return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to the recipient at the address below indicated:</w:t>
      </w:r>
    </w:p>
    <w:p>
      <w:pPr>
        <w:spacing w:after="0" w:line="126"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Notices to Executive</w:t>
      </w:r>
      <w:r>
        <w:rPr>
          <w:rFonts w:ascii="Arial" w:cs="Arial" w:eastAsia="Arial" w:hAnsi="Arial"/>
          <w:sz w:val="18"/>
          <w:szCs w:val="18"/>
          <w:color w:val="auto"/>
        </w:rPr>
        <w:t>:</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Daisy Vanderlinde</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c/o Office Depot, Inc.</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2200 Old Germantown Road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Delray Beach, FL 33445</w:t>
      </w:r>
    </w:p>
    <w:p>
      <w:pPr>
        <w:spacing w:after="0" w:line="165" w:lineRule="exact"/>
        <w:rPr>
          <w:sz w:val="20"/>
          <w:szCs w:val="20"/>
          <w:color w:val="auto"/>
        </w:rPr>
      </w:pPr>
    </w:p>
    <w:p>
      <w:pPr>
        <w:ind w:left="912" w:right="3900"/>
        <w:spacing w:after="0" w:line="391" w:lineRule="auto"/>
        <w:rPr>
          <w:sz w:val="20"/>
          <w:szCs w:val="20"/>
          <w:color w:val="auto"/>
        </w:rPr>
      </w:pPr>
      <w:r>
        <w:rPr>
          <w:rFonts w:ascii="Arial" w:cs="Arial" w:eastAsia="Arial" w:hAnsi="Arial"/>
          <w:sz w:val="18"/>
          <w:szCs w:val="18"/>
          <w:color w:val="auto"/>
        </w:rPr>
        <w:t xml:space="preserve">Or to such residential address as may be reflected in the employment records of the Company </w:t>
      </w:r>
      <w:r>
        <w:rPr>
          <w:rFonts w:ascii="Arial" w:cs="Arial" w:eastAsia="Arial" w:hAnsi="Arial"/>
          <w:sz w:val="18"/>
          <w:szCs w:val="18"/>
          <w:u w:val="single" w:color="auto"/>
          <w:color w:val="auto"/>
        </w:rPr>
        <w:t>Notices to the Company</w:t>
      </w:r>
      <w:r>
        <w:rPr>
          <w:rFonts w:ascii="Arial" w:cs="Arial" w:eastAsia="Arial" w:hAnsi="Arial"/>
          <w:sz w:val="18"/>
          <w:szCs w:val="18"/>
          <w:color w:val="auto"/>
        </w:rPr>
        <w:t>:</w:t>
      </w:r>
    </w:p>
    <w:p>
      <w:pPr>
        <w:spacing w:after="0" w:line="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Office Depot, Inc.</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2200 Old Germantown Road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Delray Beach, Florida 33445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Chairman and Chief Executive Officer</w:t>
      </w:r>
    </w:p>
    <w:p>
      <w:pPr>
        <w:spacing w:after="0" w:line="16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Office Depot, Inc.</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2200 Old Germantown Road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Delray Beach, Florida 33445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52" w:right="320"/>
        <w:spacing w:after="0" w:line="268"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mailed.</w:t>
      </w:r>
    </w:p>
    <w:p>
      <w:pPr>
        <w:spacing w:after="0" w:line="45" w:lineRule="exact"/>
        <w:rPr>
          <w:sz w:val="20"/>
          <w:szCs w:val="20"/>
          <w:color w:val="auto"/>
        </w:rPr>
      </w:pPr>
    </w:p>
    <w:p>
      <w:pPr>
        <w:ind w:left="452" w:hanging="452"/>
        <w:spacing w:after="0" w:line="301" w:lineRule="auto"/>
        <w:tabs>
          <w:tab w:leader="none" w:pos="452" w:val="left"/>
        </w:tabs>
        <w:numPr>
          <w:ilvl w:val="0"/>
          <w:numId w:val="101"/>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ectPr>
          <w:pgSz w:w="11900" w:h="16838" w:orient="portrait"/>
          <w:cols w:equalWidth="0" w:num="1">
            <w:col w:w="11392"/>
          </w:cols>
          <w:pgMar w:left="248" w:top="274" w:right="259" w:bottom="1440" w:gutter="0" w:footer="0" w:header="0"/>
        </w:sectPr>
      </w:pPr>
    </w:p>
    <w:bookmarkStart w:id="166" w:name="page167"/>
    <w:bookmarkEnd w:id="166"/>
    <w:p>
      <w:pPr>
        <w:ind w:left="460" w:right="40" w:hanging="452"/>
        <w:spacing w:after="0" w:line="262"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 Agreement</w:t>
      </w:r>
      <w:r>
        <w:rPr>
          <w:rFonts w:ascii="Arial" w:cs="Arial" w:eastAsia="Arial" w:hAnsi="Arial"/>
          <w:sz w:val="18"/>
          <w:szCs w:val="18"/>
          <w:color w:val="auto"/>
        </w:rPr>
        <w:t>. This Agreement and those documents expressly referred to herein and other documents of even date herewith embody the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among the parties and supersede and preempt any prior understandings, agreements or representations by or among the parties, written or oral, which may have related to the subject matter hereof in any way.</w:t>
      </w:r>
    </w:p>
    <w:p>
      <w:pPr>
        <w:spacing w:after="0" w:line="51" w:lineRule="exact"/>
        <w:rPr>
          <w:rFonts w:ascii="Arial" w:cs="Arial" w:eastAsia="Arial" w:hAnsi="Arial"/>
          <w:sz w:val="18"/>
          <w:szCs w:val="18"/>
          <w:color w:val="auto"/>
        </w:rPr>
      </w:pPr>
    </w:p>
    <w:p>
      <w:pPr>
        <w:ind w:left="460" w:right="400" w:hanging="452"/>
        <w:spacing w:after="0" w:line="275"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w:t>
      </w:r>
      <w:r>
        <w:rPr>
          <w:rFonts w:ascii="Arial" w:cs="Arial" w:eastAsia="Arial" w:hAnsi="Arial"/>
          <w:sz w:val="18"/>
          <w:szCs w:val="18"/>
          <w:b w:val="1"/>
          <w:bCs w:val="1"/>
          <w:color w:val="auto"/>
        </w:rPr>
        <w:t xml:space="preserve"> </w:t>
      </w:r>
      <w:r>
        <w:rPr>
          <w:rFonts w:ascii="Arial" w:cs="Arial" w:eastAsia="Arial" w:hAnsi="Arial"/>
          <w:sz w:val="18"/>
          <w:szCs w:val="18"/>
          <w:color w:val="auto"/>
        </w:rPr>
        <w:t>intent, and no rule of strict construction shall be applied against any party.</w:t>
      </w:r>
    </w:p>
    <w:p>
      <w:pPr>
        <w:spacing w:after="0" w:line="38" w:lineRule="exact"/>
        <w:rPr>
          <w:rFonts w:ascii="Arial" w:cs="Arial" w:eastAsia="Arial" w:hAnsi="Arial"/>
          <w:sz w:val="18"/>
          <w:szCs w:val="18"/>
          <w:color w:val="auto"/>
        </w:rPr>
      </w:pPr>
    </w:p>
    <w:p>
      <w:pPr>
        <w:ind w:left="460" w:right="560" w:hanging="452"/>
        <w:spacing w:after="0" w:line="275"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each of which is deemed to be an original and all of which taken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agreement.</w:t>
      </w:r>
    </w:p>
    <w:p>
      <w:pPr>
        <w:spacing w:after="0" w:line="38" w:lineRule="exact"/>
        <w:rPr>
          <w:rFonts w:ascii="Arial" w:cs="Arial" w:eastAsia="Arial" w:hAnsi="Arial"/>
          <w:sz w:val="18"/>
          <w:szCs w:val="18"/>
          <w:color w:val="auto"/>
        </w:rPr>
      </w:pPr>
    </w:p>
    <w:p>
      <w:pPr>
        <w:ind w:left="460" w:right="20" w:hanging="452"/>
        <w:spacing w:after="0" w:line="262"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is intended to bind and inure to the benefit of and be enforceable by Executive, the Company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successors and assigns, except that Executive may not assign Executive’s rights or delegate Executive’s obligations hereunder without the prior written consent of the Company.</w:t>
      </w:r>
    </w:p>
    <w:p>
      <w:pPr>
        <w:spacing w:after="0" w:line="51" w:lineRule="exact"/>
        <w:rPr>
          <w:rFonts w:ascii="Arial" w:cs="Arial" w:eastAsia="Arial" w:hAnsi="Arial"/>
          <w:sz w:val="18"/>
          <w:szCs w:val="18"/>
          <w:color w:val="auto"/>
        </w:rPr>
      </w:pPr>
    </w:p>
    <w:p>
      <w:pPr>
        <w:ind w:left="460" w:right="100" w:hanging="452"/>
        <w:spacing w:after="0" w:line="310"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Choice of Law</w:t>
      </w:r>
      <w:r>
        <w:rPr>
          <w:rFonts w:ascii="Arial" w:cs="Arial" w:eastAsia="Arial" w:hAnsi="Arial"/>
          <w:sz w:val="16"/>
          <w:szCs w:val="16"/>
          <w:color w:val="auto"/>
        </w:rPr>
        <w:t>. All issues and questions concerning the construction, validity, enforcement and interpretation of this Agreement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in accordance with, the laws of the State of Florida, without giving effect to any choice of law or conflict of law rules or provisions (whether of the State of Florida or any other jurisdiction) that would cause the application of the laws of any jurisdiction other than the State of Florida.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Testimony whereof, the parties have signed this </w:t>
      </w:r>
      <w:r>
        <w:rPr>
          <w:rFonts w:ascii="Arial" w:cs="Arial" w:eastAsia="Arial" w:hAnsi="Arial"/>
          <w:sz w:val="18"/>
          <w:szCs w:val="18"/>
          <w:b w:val="1"/>
          <w:bCs w:val="1"/>
          <w:color w:val="auto"/>
        </w:rPr>
        <w:t>Noncompete Agreement</w:t>
      </w:r>
      <w:r>
        <w:rPr>
          <w:rFonts w:ascii="Arial" w:cs="Arial" w:eastAsia="Arial" w:hAnsi="Arial"/>
          <w:sz w:val="18"/>
          <w:szCs w:val="18"/>
          <w:color w:val="auto"/>
        </w:rPr>
        <w:t xml:space="preserve"> as of the 19</w:t>
      </w:r>
      <w:r>
        <w:rPr>
          <w:rFonts w:ascii="Arial" w:cs="Arial" w:eastAsia="Arial" w:hAnsi="Arial"/>
          <w:sz w:val="11"/>
          <w:szCs w:val="11"/>
          <w:color w:val="auto"/>
        </w:rPr>
        <w:t>th</w:t>
      </w:r>
      <w:r>
        <w:rPr>
          <w:rFonts w:ascii="Arial" w:cs="Arial" w:eastAsia="Arial" w:hAnsi="Arial"/>
          <w:sz w:val="18"/>
          <w:szCs w:val="18"/>
          <w:color w:val="auto"/>
        </w:rPr>
        <w:t xml:space="preserve"> day of Sept, 2005.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Office Depot, Inc.</w:t>
            </w:r>
          </w:p>
        </w:tc>
      </w:tr>
      <w:tr>
        <w:trPr>
          <w:trHeight w:val="433"/>
        </w:trPr>
        <w:tc>
          <w:tcPr>
            <w:tcW w:w="5260" w:type="dxa"/>
            <w:vAlign w:val="bottom"/>
            <w:gridSpan w:val="2"/>
          </w:tcPr>
          <w:p>
            <w:pPr>
              <w:spacing w:after="0"/>
              <w:rPr>
                <w:sz w:val="20"/>
                <w:szCs w:val="20"/>
                <w:color w:val="auto"/>
              </w:rPr>
            </w:pPr>
            <w:r>
              <w:rPr>
                <w:rFonts w:ascii="Arial" w:cs="Arial" w:eastAsia="Arial" w:hAnsi="Arial"/>
                <w:sz w:val="18"/>
                <w:szCs w:val="18"/>
                <w:color w:val="auto"/>
              </w:rPr>
              <w:t>/s/ Daisy Vanderlinde</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By  /s/ Steve Odland</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Daisy Vanderlinde</w:t>
            </w:r>
          </w:p>
        </w:tc>
        <w:tc>
          <w:tcPr>
            <w:tcW w:w="9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Steve Odland</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Title: Chairman and CEO</w:t>
            </w:r>
          </w:p>
        </w:tc>
      </w:tr>
    </w:tbl>
    <w:p>
      <w:pPr>
        <w:sectPr>
          <w:pgSz w:w="11900" w:h="16838" w:orient="portrait"/>
          <w:cols w:equalWidth="0" w:num="1">
            <w:col w:w="11420"/>
          </w:cols>
          <w:pgMar w:left="240" w:top="274" w:right="2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Arbitration Provisions</w:t>
      </w:r>
      <w:r>
        <w:rPr>
          <w:rFonts w:ascii="Arial" w:cs="Arial" w:eastAsia="Arial" w:hAnsi="Arial"/>
          <w:sz w:val="16"/>
          <w:szCs w:val="16"/>
          <w:color w:val="auto"/>
        </w:rPr>
        <w:t>. Except as to the right of the Company to resort to any court of competent jurisdiction to obtain injunctive relief or specific enforcement of the Executive’s obligations of confidentiality and non-competition, any dispute or controversy between the Company and Executive arising out of or relating to Executive’s employment or termination of employment, including but not limited to disputes involving discrimination arising under common law, and/or federal, state and local laws, shall be settled by arbitration administered by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in accordance with its National Rules for the Resolution of Employment Disputes then in effect, and judgment on the award rendered by the arbitrator may be entered in any court having jurisdiction thereof. Any arbitration shall be held before a single arbitrator who shall be selected by the mutual agreement of the Company and Executive, unless the parties are unable to agree to an arbitrator, in which case the arbitrator will be selected under the procedures of the AAA. The arbitrator shall have the authority to award any remedy or relief that a court of competent jurisdiction could order or grant, including, without limitation, the issuance of an injunction. Each party agrees to abide by and accept the final decision of the arbitrator as to the ultimate resolution of any and all covered disputes and understands that arbitration replaces any right to trial by a judge or jury. However, either party may, without inconsistency with this arbitration provision, apply to any court otherwise having jurisdiction over such dispute or controversy and seek interim provisional, injunctive or other equitable relief until the arbitration award is rendered or the controversy is otherwise resolved. Except as necessary in court proceedings to enforce this arbitration provision or an award rendered hereunder, or to obtain interim relief, or as may otherwise be required by law, neither a party nor an arbitrator may disclose the existence, content or results of any arbitration hereunder without the prior written consent of the Company and Executive. The Company and Executive acknowledge that this Agreement evidences a transaction involving interstate commerce. Notwithstanding any choice of law provision included in this Agreement, the United States Federal Arbitration Act shall govern the interpretation and enforcement of this arbitration provision. The arbitration proceeding shall be conducted in Palm Beach County, Florida unless the parties mutually agree to another location. The Company shall pay the costs of any arbitrator appointed hereunder.</w:t>
      </w:r>
    </w:p>
    <w:p>
      <w:pPr>
        <w:sectPr>
          <w:pgSz w:w="11900" w:h="16838" w:orient="portrait"/>
          <w:cols w:equalWidth="0" w:num="1">
            <w:col w:w="11400"/>
          </w:cols>
          <w:pgMar w:left="240" w:top="274" w:right="259" w:bottom="1440" w:gutter="0" w:footer="0" w:header="0"/>
        </w:sectPr>
      </w:pPr>
    </w:p>
    <w:bookmarkStart w:id="168" w:name="page169"/>
    <w:bookmarkEnd w:id="16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Daisy, we would be extremely excited to have you join our management team as Executive Vice President, Human Resources for Office Depot. I look forward to your response as soon as practicable.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 Odland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 Odland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ectPr>
          <w:pgSz w:w="11900" w:h="16838" w:orient="portrait"/>
          <w:cols w:equalWidth="0" w:num="1">
            <w:col w:w="11340"/>
          </w:cols>
          <w:pgMar w:left="240" w:top="280" w:right="3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Daisy Vanderlinde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4131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Daisy Vanderlinde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9-14-05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ectPr>
          <w:pgSz w:w="11900" w:h="16838" w:orient="portrait"/>
          <w:cols w:equalWidth="0" w:num="2">
            <w:col w:w="5340" w:space="720"/>
            <w:col w:w="5280"/>
          </w:cols>
          <w:pgMar w:left="240" w:top="280" w:right="319" w:bottom="1440" w:gutter="0" w:footer="0" w:header="0"/>
          <w:type w:val="continuous"/>
        </w:sectPr>
      </w:pPr>
    </w:p>
    <w:p>
      <w:pPr>
        <w:ind w:left="280" w:right="7760" w:hanging="272"/>
        <w:spacing w:after="0" w:line="268"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Lee Ault, Chairman, Compensation Committee Board of Directors</w:t>
      </w:r>
    </w:p>
    <w:p>
      <w:pPr>
        <w:sectPr>
          <w:pgSz w:w="11900" w:h="16838" w:orient="portrait"/>
          <w:cols w:equalWidth="0" w:num="1">
            <w:col w:w="11340"/>
          </w:cols>
          <w:pgMar w:left="240" w:top="280" w:right="31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OFFER LETTER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December 31, 2008</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Office Depot, Inc., a Delaware corporation (“Company”), set out the terms of its offer of employment to the executive named below (“Executive”) pursuant to a letter with the date specified below (“Offer Letter”). The Company and the Executive desire to amend the severance provisions of the Offer Letter (“Amendment”) in order to evidence documentary compliance with Section 409A of the Internal Revenue Code of 1986, as amended, and the regulatory guidance thereunder, effective on the date specified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Daisy Vanderlinde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Offer Letter: February 3, 2006</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parties hereto agree as follows:</w:t>
      </w:r>
    </w:p>
    <w:p>
      <w:pPr>
        <w:spacing w:after="0" w:line="132" w:lineRule="exact"/>
        <w:rPr>
          <w:sz w:val="20"/>
          <w:szCs w:val="20"/>
          <w:color w:val="auto"/>
        </w:rPr>
      </w:pPr>
    </w:p>
    <w:p>
      <w:pPr>
        <w:ind w:right="240" w:firstLine="464"/>
        <w:spacing w:after="0" w:line="268"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 respect to any quoted language herein, which shall be inserted into your Offer Letter, the parties intend for said quoted language to control to the extent that there is any conflict with the language in the original Offer Letter.</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section of the Offer Letter entitled “</w:t>
      </w:r>
      <w:r>
        <w:rPr>
          <w:rFonts w:ascii="Arial" w:cs="Arial" w:eastAsia="Arial" w:hAnsi="Arial"/>
          <w:sz w:val="18"/>
          <w:szCs w:val="18"/>
          <w:b w:val="1"/>
          <w:bCs w:val="1"/>
          <w:color w:val="auto"/>
        </w:rPr>
        <w:t>Employment at Will; Severance”</w:t>
      </w:r>
      <w:r>
        <w:rPr>
          <w:rFonts w:ascii="Arial" w:cs="Arial" w:eastAsia="Arial" w:hAnsi="Arial"/>
          <w:sz w:val="18"/>
          <w:szCs w:val="18"/>
          <w:color w:val="auto"/>
        </w:rPr>
        <w:t xml:space="preserve"> is amended to read as follows:</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“Employment at Will; Severance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Your employment will be at will, meaning that it can be terminated by either of us at any time and for any reason. However, if your employment is involuntarily terminated by the Company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 by reason of your disability, (ii) by reason of your continued failure to substantially perform your duties with the Company after written notice is delivered, (iii) by reason of your engaging in illegal conduct or any other conduct which is materially injurious to the Company or which violates the Code of Ethical Behavior of the Company or which violates any other material policy of the Company, or (iv) on any anniversary of your hire date, provided the Company has given you at least 90 days notice of such termination), then the Company will pay to you, less applicable taxes and other deductions required by law, the sum of (i) 18 months of your base salary at the rate in effect on the date of your employment termination, (ii) 18 times the difference between the Company’s monthly COBRA charge on your date of employment termination for the type of Company-provided group health plan coverage in effect for you on that date and the applicable active employee charge for such coverage, and (iii) 1.5 times your target annual bonus in effect for the year in which your</w:t>
      </w:r>
    </w:p>
    <w:p>
      <w:pPr>
        <w:sectPr>
          <w:pgSz w:w="11900" w:h="16838" w:orient="portrait"/>
          <w:cols w:equalWidth="0" w:num="2">
            <w:col w:w="1260" w:space="580"/>
            <w:col w:w="9580"/>
          </w:cols>
          <w:pgMar w:left="240" w:top="125" w:right="239" w:bottom="1440" w:gutter="0" w:footer="0" w:header="0"/>
          <w:type w:val="continuous"/>
        </w:sectPr>
      </w:pPr>
    </w:p>
    <w:bookmarkStart w:id="170" w:name="page171"/>
    <w:bookmarkEnd w:id="170"/>
    <w:p>
      <w:pPr>
        <w:ind w:left="18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is terminated (provided that you have not violated your non-compete agreement with the Company and in lieu of any other bonus of any sort whatsoever with respect to the year in which termination occurs). In addition, upon termination for which you are entitled to the forgoing benefits, you will have a period of 18 months to exercise any vested stock options (but, for each option, not longer than the original term of such option). The Company must deliver to you a customary release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within seven days following the date of your employment termination. As a condition to receipt of the severance benefits specified in this section, you must (i) sign the Release and return the signed Release to the Company within the time period prescribed in the Release (which will not be more than 45 days after the Company delivers the Release to you), and (ii) not revoke the Release within any seven-day revocation period that applies to you under the Age Discrimination in Employment Act of 1967, as amended; the total period of time described in (i) and (ii) above is the “Release Period.” The Company will pay the severance benefits specified in this section to you in a lump sum within 15 days following the expiration of the Release Period. In the event you decline or fail for any reason to timely execute and deliver the Release or you revoke the Release, then you will not be entitled to the severance benefits specified in this section. Although your job duties, title, compensation, benefits, or the Company’s policies, practices and procedures may change from time to time, the ‘at-will’ nature of your employment may only be changed in an express writing signed by you and the Chief Executive Officer of the Company.”</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The following new section entitled “</w:t>
      </w:r>
      <w:r>
        <w:rPr>
          <w:rFonts w:ascii="Arial" w:cs="Arial" w:eastAsia="Arial" w:hAnsi="Arial"/>
          <w:sz w:val="18"/>
          <w:szCs w:val="18"/>
          <w:b w:val="1"/>
          <w:bCs w:val="1"/>
          <w:color w:val="auto"/>
        </w:rPr>
        <w:t>Expense Reimbursements</w:t>
      </w:r>
      <w:r>
        <w:rPr>
          <w:rFonts w:ascii="Arial" w:cs="Arial" w:eastAsia="Arial" w:hAnsi="Arial"/>
          <w:sz w:val="18"/>
          <w:szCs w:val="18"/>
          <w:color w:val="auto"/>
        </w:rPr>
        <w:t>” shall be inserted at the end of the Offer Letter:</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“Expense Reimbursements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the extent that any expense reimbursement provided for by this Agreement does not qualify for exclusion from Federal income taxation, the Company will make the reimbursement only if you incur the corresponding expense during the term of your employment with the Company and submit the request for reimbursement no later than two months prior to the last day of the calendar year following the calendar year in which the expense was incurred so that the Company can, and will, make the reimbursement on or before the last day of the calendar year following the calendar year in which the expense was incurred; the amount of expenses eligible for such reimbursement during a calendar year will not affect the amount of expenses eligible for such reimbursement in another calendar year, and the right to such reimbursement is not subject to liquidation or exchange for another benefit from the Company.”</w:t>
      </w:r>
    </w:p>
    <w:p>
      <w:pPr>
        <w:spacing w:after="0" w:line="14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1280" w:space="680"/>
            <w:col w:w="9460"/>
          </w:cols>
          <w:pgMar w:left="240" w:top="280" w:right="239" w:bottom="1440" w:gutter="0" w:footer="0" w:header="0"/>
          <w:type w:val="continuous"/>
        </w:sectPr>
      </w:pPr>
    </w:p>
    <w:bookmarkStart w:id="171" w:name="page172"/>
    <w:bookmarkEnd w:id="1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The following new section entitled </w:t>
      </w:r>
      <w:r>
        <w:rPr>
          <w:rFonts w:ascii="Arial" w:cs="Arial" w:eastAsia="Arial" w:hAnsi="Arial"/>
          <w:sz w:val="18"/>
          <w:szCs w:val="18"/>
          <w:b w:val="1"/>
          <w:bCs w:val="1"/>
          <w:color w:val="auto"/>
        </w:rPr>
        <w:t>“Tax Treatment”</w:t>
      </w:r>
      <w:r>
        <w:rPr>
          <w:rFonts w:ascii="Arial" w:cs="Arial" w:eastAsia="Arial" w:hAnsi="Arial"/>
          <w:sz w:val="18"/>
          <w:szCs w:val="18"/>
          <w:color w:val="auto"/>
        </w:rPr>
        <w:t xml:space="preserve"> shall be inserted at the end of the Offer Letter:</w:t>
      </w:r>
    </w:p>
    <w:p>
      <w:pPr>
        <w:spacing w:after="0" w:line="212" w:lineRule="exact"/>
        <w:rPr>
          <w:sz w:val="20"/>
          <w:szCs w:val="20"/>
          <w:color w:val="auto"/>
        </w:rPr>
      </w:pPr>
    </w:p>
    <w:p>
      <w:pPr>
        <w:ind w:left="1960" w:hanging="1944"/>
        <w:spacing w:after="0" w:line="294" w:lineRule="auto"/>
        <w:tabs>
          <w:tab w:leader="none" w:pos="1940" w:val="left"/>
        </w:tabs>
        <w:rPr>
          <w:sz w:val="20"/>
          <w:szCs w:val="20"/>
          <w:color w:val="auto"/>
        </w:rPr>
      </w:pPr>
      <w:r>
        <w:rPr>
          <w:rFonts w:ascii="Arial" w:cs="Arial" w:eastAsia="Arial" w:hAnsi="Arial"/>
          <w:sz w:val="18"/>
          <w:szCs w:val="18"/>
          <w:b w:val="1"/>
          <w:bCs w:val="1"/>
          <w:color w:val="auto"/>
        </w:rPr>
        <w:t>“Tax Treatment:</w:t>
      </w:r>
      <w:r>
        <w:rPr>
          <w:sz w:val="20"/>
          <w:szCs w:val="20"/>
          <w:color w:val="auto"/>
        </w:rPr>
        <w:tab/>
      </w:r>
      <w:r>
        <w:rPr>
          <w:rFonts w:ascii="Arial" w:cs="Arial" w:eastAsia="Arial" w:hAnsi="Arial"/>
          <w:sz w:val="16"/>
          <w:szCs w:val="16"/>
          <w:color w:val="auto"/>
        </w:rPr>
        <w:t>This letter will be construed and administered to preserve the exemption from Section 409A of the Internal Revenue Code of 1986, as amended, and the guidance thereunder of payments that qualify as short-term deferrals pursuant to Treas. Reg. §1.409A-1(b)(4) or that qualify for the two-times compensation exemption of Treas. Reg. §1.409A-l(b)(9)(iii). You acknowledge and agree that the Company has made no representation to you as to the tax treatment of the compensation and benefits provided pursuant to this letter and that you are solely responsible for all taxes due with respect to such compensation and benefits.”</w:t>
      </w:r>
    </w:p>
    <w:p>
      <w:pPr>
        <w:spacing w:after="0" w:line="122" w:lineRule="exact"/>
        <w:rPr>
          <w:sz w:val="20"/>
          <w:szCs w:val="20"/>
          <w:color w:val="auto"/>
        </w:rPr>
      </w:pPr>
    </w:p>
    <w:p>
      <w:pPr>
        <w:jc w:val="center"/>
        <w:ind w:right="-1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 Depot,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R.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Stephen R. Calkins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Associate 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Daisy Vanderlinde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Daisy Vanderlinde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12-23-08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77"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This Separation Agreement (the “Agreement”) between Daisy Vanderlinde (hereinafter referred to as “Executive,” a term which includes the successors, assigns, beneficiaries, personal representatives, and heirs of Daisy Vanderlinde) and Office Depot, Inc. (hereinafter referred to as “Office Depot” or “Company,” terms which include each and every officer, director, employee, agent, parent corporation or subsidiary, affiliate or division, its successors, assigns, beneficiaries, servants, legal representatives, insures and heirs) is presented to Executive on July 18, 2011.</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Executive’s last day of employment is August 31, 2011 (the “Separation Date”);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WHEREAS Executive is entitled to any unpaid wages that she has earned through the Separation Date and payment for any accrued unused vacation time in her Grandfathered Accrual;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Executive is entitled to any vested benefits in her 401(k) account, regardless of whether she signs this Agreement;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Executive may apply for COBRA coverage provided by law at her expense regardless of whether she signs this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AND IN CONSIDERATION of the foregoing, and other good and valuable consideration as set forth below, the Parties agree as follows:</w:t>
      </w:r>
    </w:p>
    <w:p>
      <w:pPr>
        <w:spacing w:after="0" w:line="113" w:lineRule="exact"/>
        <w:rPr>
          <w:sz w:val="20"/>
          <w:szCs w:val="20"/>
          <w:color w:val="auto"/>
        </w:rPr>
      </w:pPr>
    </w:p>
    <w:p>
      <w:pPr>
        <w:ind w:left="900" w:right="20" w:hanging="446"/>
        <w:spacing w:after="0" w:line="289"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Severance Benefit.</w:t>
      </w:r>
      <w:r>
        <w:rPr>
          <w:rFonts w:ascii="Arial" w:cs="Arial" w:eastAsia="Arial" w:hAnsi="Arial"/>
          <w:sz w:val="16"/>
          <w:szCs w:val="16"/>
          <w:color w:val="auto"/>
        </w:rPr>
        <w:t xml:space="preserve"> Office Depot agrees to pay Executive the total sum of $1,572,296.00 which shall be referred to as the “Severance Benefit”. As a condition to receipt of the Severance Benefit, Executive must (i) execute and return this Agreement within the time period set forth in Section 7, and (ii) not exercise her right of revocation as set forth in Section 7. The total time period described in (i) and (ii) above is the “Release Period.” Payment of the Severance Benefit will be made as follows: (1) a check made payable to Deutsch Rotbart &amp; Associates, P.A., in the amount of $56,100, subject to a W-9 and (2) check made payable to Executive in the amount of $1,516,196 in a lump sum, less applicable taxes, other deductions required by law, and/or any amounts due Office Depot, within fifteen (15) days following the expiration of the Release Period. Of this $1,516,196 payable to Executive, a total of $76,296 equates to 18 months of COBRA premiums for medical, dental, and vision based on the coverage rates in effect on the Separation Date. No payments specified in this paragraph will be made later than March 15, 2012.</w:t>
      </w:r>
    </w:p>
    <w:p>
      <w:pPr>
        <w:spacing w:after="0" w:line="118"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payments specified above do not provide for a deferral of compensation under section 409A of the Internal Revenue Code of 1986, as amended (“Section 409A”) and, therefore, all payments are intended to be exempt from Section 409A under the short-term deferral exemption of Treasury Reg. § 1.409A-1(b)(4).</w:t>
      </w:r>
    </w:p>
    <w:p>
      <w:pPr>
        <w:spacing w:after="0" w:line="140" w:lineRule="exact"/>
        <w:rPr>
          <w:sz w:val="20"/>
          <w:szCs w:val="20"/>
          <w:color w:val="auto"/>
        </w:rPr>
      </w:pPr>
    </w:p>
    <w:p>
      <w:pPr>
        <w:ind w:left="920" w:right="240"/>
        <w:spacing w:after="0" w:line="298" w:lineRule="auto"/>
        <w:rPr>
          <w:sz w:val="20"/>
          <w:szCs w:val="20"/>
          <w:color w:val="auto"/>
        </w:rPr>
      </w:pPr>
      <w:r>
        <w:rPr>
          <w:rFonts w:ascii="Arial" w:cs="Arial" w:eastAsia="Arial" w:hAnsi="Arial"/>
          <w:sz w:val="16"/>
          <w:szCs w:val="16"/>
          <w:color w:val="auto"/>
        </w:rPr>
        <w:t>Executive acknowledges that the Severance Benefit set forth in this Section 1 satisfies in full the severance obligations in Executive’s offer letter dated September 8, 2005, as amended effective December 31, 2008. Executive further acknowledges that the Severance Benefit set forth in this Section 1 is conditional upon her execution and non-revocation of this Agreement, and Executive’s adherence to her post-employment obligations contained herein, including, without limitation, the obligations set forth in Section 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5</w:t>
      </w:r>
    </w:p>
    <w:p>
      <w:pPr>
        <w:sectPr>
          <w:pgSz w:w="11900" w:h="16838" w:orient="portrait"/>
          <w:cols w:equalWidth="0" w:num="1">
            <w:col w:w="11420"/>
          </w:cols>
          <w:pgMar w:left="240" w:top="125" w:right="239" w:bottom="1440" w:gutter="0" w:footer="0" w:header="0"/>
        </w:sectPr>
      </w:pPr>
    </w:p>
    <w:bookmarkStart w:id="173" w:name="page174"/>
    <w:bookmarkEnd w:id="173"/>
    <w:p>
      <w:pPr>
        <w:ind w:left="446" w:right="20" w:hanging="446"/>
        <w:spacing w:after="0" w:line="287" w:lineRule="auto"/>
        <w:tabs>
          <w:tab w:leader="none" w:pos="4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 of Claims and Covenant Not to Sue</w:t>
      </w:r>
      <w:r>
        <w:rPr>
          <w:rFonts w:ascii="Arial" w:cs="Arial" w:eastAsia="Arial" w:hAnsi="Arial"/>
          <w:sz w:val="16"/>
          <w:szCs w:val="16"/>
          <w:color w:val="auto"/>
        </w:rPr>
        <w:t>. Executive agrees to release and forever discharge Office Depot from any and all claims, demands, actions, and causes of action, and all liability whatsoever, whether known or unknown, fixed or contingent, which Executive has or may have against Office Depot as a result of her employment by and subsequent separation from employment with Office Depot, up to the date of the execution of this Agreement and the general release contained herein. This release includes but is not limited to claims at law or equity or sounding in contract (express or implied), common law or tort arising under federal, state or local laws, including, but not limited to, those laws prohibiting age, sex, race, disability, veteran, national origin or any other forms of discrimination. This further includes but is not limited to any and all claims arising under the Age Discrimination in Employment Act, the Americans with Disabilities Act of 1990, Title VII of the Civil Rights Act of 1964, the Civil Rights Act of 1991, Sections 1981 through 1988 of Title 42 of the United States Code, as amended, the Worker Adjustment and Retraining Notification Act, Section 409A of the Internal Revenue Code of 1986, as amended, or the Employee Retirement Income Security Act of 1974, as amended (ERISA), or claims growing out of any legal restrictions on Office Depot’s right to terminate its employees.</w:t>
      </w:r>
    </w:p>
    <w:p>
      <w:pPr>
        <w:spacing w:after="0" w:line="123" w:lineRule="exact"/>
        <w:rPr>
          <w:sz w:val="20"/>
          <w:szCs w:val="20"/>
          <w:color w:val="auto"/>
        </w:rPr>
      </w:pPr>
    </w:p>
    <w:p>
      <w:pPr>
        <w:ind w:left="466" w:right="20"/>
        <w:spacing w:after="0" w:line="288" w:lineRule="auto"/>
        <w:rPr>
          <w:sz w:val="20"/>
          <w:szCs w:val="20"/>
          <w:color w:val="auto"/>
        </w:rPr>
      </w:pPr>
      <w:r>
        <w:rPr>
          <w:rFonts w:ascii="Arial" w:cs="Arial" w:eastAsia="Arial" w:hAnsi="Arial"/>
          <w:sz w:val="16"/>
          <w:szCs w:val="16"/>
          <w:color w:val="auto"/>
        </w:rPr>
        <w:t>Executive further covenants not to sue or to file any arbitration demand against Office Depot for any claims. Executive affirms that she has not otherwise filed, caused to be filed, or presently is a party to any claim, complaint, or action against Office Depot in any forum or form. While Executive is not foreclosed from filing a civil rights charge or complaint with the Equal Employment Opportunity Commission or any other government agency or having such a charge or complaint filed on her behalf, Executive waives the right to receive any benefit or remedial relief as a consequence of any such civil rights charge or complaint filed by her or on her behalf. Should any such charge or action be filed by Executive or on her behalf involving matters covered by this Agreement with the Equal Employment Opportunity Commission or a state fair employment practices agency, Executive agrees to promptly give the agency a copy of this Agreement and inform it that any individual claims that Executive might otherwise have had are now resolved. Executive understands that nothing in this Agreement releases Office Depot from Worker’s Compensation or disability benefits, if any, to which Executive may be entitled in connection with her employment with Office Depot.</w:t>
      </w:r>
    </w:p>
    <w:p>
      <w:pPr>
        <w:spacing w:after="0" w:line="39" w:lineRule="exact"/>
        <w:rPr>
          <w:sz w:val="20"/>
          <w:szCs w:val="20"/>
          <w:color w:val="auto"/>
        </w:rPr>
      </w:pPr>
    </w:p>
    <w:p>
      <w:pPr>
        <w:ind w:left="446" w:right="60" w:hanging="446"/>
        <w:spacing w:after="0" w:line="289" w:lineRule="auto"/>
        <w:tabs>
          <w:tab w:leader="none" w:pos="44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Corporate American Express Charges</w:t>
      </w:r>
      <w:r>
        <w:rPr>
          <w:rFonts w:ascii="Arial" w:cs="Arial" w:eastAsia="Arial" w:hAnsi="Arial"/>
          <w:sz w:val="16"/>
          <w:szCs w:val="16"/>
          <w:color w:val="auto"/>
        </w:rPr>
        <w:t>. Executive agrees to provide Office Depot with receipts for any and all expenses charged to her Corporate American Express Card that are pending or unpaid, within 5 (five) business days after the Separation Date. Executive further understands and agrees that it is Executive’s personal obligation to directly render payment to American Express for any personal charges incurred on her Corporate American Express Card and understands and agrees that if she fails to do so, Office Depot has the right, but is not obligated, to deduct any and all amounts owing on her Corporate American Express Card for personal expenses from her severance payment, under this Agreement. Any and all amounts due to Office Depot, as the result of any employee loan, will be deducted from the amounts received under this Agreement, until the loan has been satisfied. Executive affirms that, if applicable, any amounts due as a loan from the Office Depot Disaster Relief Foundation will be repaid from the severance amount.</w:t>
      </w:r>
    </w:p>
    <w:p>
      <w:pPr>
        <w:spacing w:after="0" w:line="37" w:lineRule="exact"/>
        <w:rPr>
          <w:rFonts w:ascii="Arial" w:cs="Arial" w:eastAsia="Arial" w:hAnsi="Arial"/>
          <w:sz w:val="16"/>
          <w:szCs w:val="16"/>
          <w:color w:val="auto"/>
        </w:rPr>
      </w:pPr>
    </w:p>
    <w:p>
      <w:pPr>
        <w:ind w:left="446" w:right="20" w:hanging="446"/>
        <w:spacing w:after="0" w:line="259" w:lineRule="auto"/>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acknowledges that this Agreement shall not in any way be construed as an admission by Office Depot of any unlawful or wrongful acts whatsoever against Executive or any other person, and Office Depot specifically disclaims any liability to or wrongful acts against Executive or any other person.</w:t>
      </w:r>
    </w:p>
    <w:p>
      <w:pPr>
        <w:spacing w:after="0" w:line="59"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Executive expressly waives and releases any right to reinstatement by Office Depot and agrees not to seek or accept employment with Office Depot in the future, unless such new employment is expressly and mutually agreed to by Office Depot and Executive, in writing.</w:t>
      </w:r>
    </w:p>
    <w:p>
      <w:pPr>
        <w:spacing w:after="0" w:line="7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0946"/>
          </w:cols>
          <w:pgMar w:left="694" w:top="280" w:right="259" w:bottom="1440" w:gutter="0" w:footer="0" w:header="0"/>
        </w:sectPr>
      </w:pPr>
    </w:p>
    <w:bookmarkStart w:id="174" w:name="page175"/>
    <w:bookmarkEnd w:id="174"/>
    <w:p>
      <w:pPr>
        <w:ind w:left="446" w:hanging="446"/>
        <w:spacing w:after="0" w:line="286" w:lineRule="auto"/>
        <w:tabs>
          <w:tab w:leader="none" w:pos="44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Non-Compete, Confidentiality, Non-Disparagement, Cooperation</w:t>
      </w:r>
      <w:r>
        <w:rPr>
          <w:rFonts w:ascii="Arial" w:cs="Arial" w:eastAsia="Arial" w:hAnsi="Arial"/>
          <w:sz w:val="16"/>
          <w:szCs w:val="16"/>
          <w:color w:val="auto"/>
        </w:rPr>
        <w:t>. Executive understands and agrees that, with the exception of the Employee Non-Competition, Confidentiality, and Non-Solicitation Agreement signed on September 19, 2005 (the “Non-Competition, Confidentiality, and Non-Solicitation Agreement”), this Release Agreement supersedes all prior agreements and understandings between Executive and Office Depot. Executive understands and agrees that this Release Agreement and the surviving Non-Competition, Confidentiality, and Non-Solicitation Agreement, constitute the entire agreement between Office Depot and Executive with respect to Executive’s employment and termination of employment, that no other promises have been made to Executive, and that Executive has not relied upon any representation or statement, written or oral, not set forth in this document. Executive expressly acknowledges that the non-compete, non-solicitation, and confidentiality provisions contained in her Non-Competition, Confidentiality, and Non-Solicitation Agreement are incorporated into this Release Agreement and remain in full force and effect. The terms set forth in this Section 6 are material terms of this Release Agreement and are essential to protect Office Depot’s legitimate interests and relationships. Executive agrees that a breach of any of these terms would cause irreparable harm to Office Depot, and that Office Depot may seek immediate injunctive relief in a court of law to enforce the terms of this Release Agreement and the surviving Non-Competition, Confidentiality, and Non-Solicitation Agreement.</w:t>
      </w:r>
    </w:p>
    <w:p>
      <w:pPr>
        <w:spacing w:after="0" w:line="124" w:lineRule="exact"/>
        <w:rPr>
          <w:sz w:val="20"/>
          <w:szCs w:val="20"/>
          <w:color w:val="auto"/>
        </w:rPr>
      </w:pPr>
    </w:p>
    <w:p>
      <w:pPr>
        <w:ind w:left="466" w:right="80"/>
        <w:spacing w:after="0" w:line="306" w:lineRule="auto"/>
        <w:rPr>
          <w:sz w:val="20"/>
          <w:szCs w:val="20"/>
          <w:color w:val="auto"/>
        </w:rPr>
      </w:pPr>
      <w:r>
        <w:rPr>
          <w:rFonts w:ascii="Arial" w:cs="Arial" w:eastAsia="Arial" w:hAnsi="Arial"/>
          <w:sz w:val="16"/>
          <w:szCs w:val="16"/>
          <w:color w:val="auto"/>
        </w:rPr>
        <w:t>Executive further agrees not to make any remarks disparaging the conduct or character of Office Depot, dealing in any manner with her tenure as an executive with Office Depot, including the circumstances of her departure from Office Depot. Should Executive violate this non-disparagement provision, she shall be subject to losing any and all benefits afforded to her under this Agreement.</w:t>
      </w:r>
    </w:p>
    <w:p>
      <w:pPr>
        <w:spacing w:after="0" w:line="107"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color w:val="auto"/>
        </w:rPr>
        <w:t>Executive will provide her full and truthful testimony, cooperation and assistance in any litigation, investigations, or administrative proceeding involving any matters with which she was involved during her employment with Office Depot. Office Depot will reimburse Executive for reasonable travel expenses and other reasonable expenses and costs with the prior written approval of the Executive Vice President, General Counsel of Office Depot, which are to be incurred in providing such assistance.</w:t>
      </w:r>
    </w:p>
    <w:p>
      <w:pPr>
        <w:spacing w:after="0" w:line="143" w:lineRule="exact"/>
        <w:rPr>
          <w:sz w:val="20"/>
          <w:szCs w:val="20"/>
          <w:color w:val="auto"/>
        </w:rPr>
      </w:pPr>
    </w:p>
    <w:p>
      <w:pPr>
        <w:ind w:left="466" w:right="20"/>
        <w:spacing w:after="0" w:line="255" w:lineRule="auto"/>
        <w:rPr>
          <w:sz w:val="20"/>
          <w:szCs w:val="20"/>
          <w:color w:val="auto"/>
        </w:rPr>
      </w:pPr>
      <w:r>
        <w:rPr>
          <w:rFonts w:ascii="Arial" w:cs="Arial" w:eastAsia="Arial" w:hAnsi="Arial"/>
          <w:sz w:val="18"/>
          <w:szCs w:val="18"/>
          <w:color w:val="auto"/>
        </w:rPr>
        <w:t>Executive acknowledges and agrees that the terms and provisions of this Agreement, as well as any and all incidents leading to or resulting from this Agreement, are confidential and shall not be discussed with any individual without the prior written consent of Office Depot’s Executive Vice President, General Counsel, except that this Agreement shall not prohibit Executive from required confidential disclosures to her attorney, accountant, or to any governmental taxing authority, or discussing the matter with her immediate family on a need to know basis or as otherwise required by law.</w:t>
      </w:r>
    </w:p>
    <w:p>
      <w:pPr>
        <w:spacing w:after="0" w:line="62" w:lineRule="exact"/>
        <w:rPr>
          <w:sz w:val="20"/>
          <w:szCs w:val="20"/>
          <w:color w:val="auto"/>
        </w:rPr>
      </w:pPr>
    </w:p>
    <w:p>
      <w:pPr>
        <w:jc w:val="both"/>
        <w:ind w:left="446" w:right="120" w:hanging="446"/>
        <w:spacing w:after="0" w:line="303" w:lineRule="auto"/>
        <w:tabs>
          <w:tab w:leader="none" w:pos="446"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Time to Consider, Right of Revocation</w:t>
      </w:r>
      <w:r>
        <w:rPr>
          <w:rFonts w:ascii="Arial" w:cs="Arial" w:eastAsia="Arial" w:hAnsi="Arial"/>
          <w:sz w:val="15"/>
          <w:szCs w:val="15"/>
          <w:color w:val="auto"/>
        </w:rPr>
        <w:t>. Executive understands and acknowledges that she has until September 1, 2011, which is at least twenty-one (21) calendar days, to review and consider the provisions of this Agreement, and agrees that any modifications, material or immaterial, made to this Agreement do not restart the running of the twenty-one (21) day period. Executive shall not execute this Agreement prior to her Separation Date.</w:t>
      </w:r>
    </w:p>
    <w:p>
      <w:pPr>
        <w:spacing w:after="0" w:line="1" w:lineRule="exact"/>
        <w:rPr>
          <w:rFonts w:ascii="Arial" w:cs="Arial" w:eastAsia="Arial" w:hAnsi="Arial"/>
          <w:sz w:val="15"/>
          <w:szCs w:val="15"/>
          <w:color w:val="auto"/>
        </w:rPr>
      </w:pPr>
    </w:p>
    <w:p>
      <w:pPr>
        <w:ind w:left="446" w:right="320"/>
        <w:spacing w:after="0" w:line="302" w:lineRule="auto"/>
        <w:rPr>
          <w:rFonts w:ascii="Arial" w:cs="Arial" w:eastAsia="Arial" w:hAnsi="Arial"/>
          <w:sz w:val="15"/>
          <w:szCs w:val="15"/>
          <w:color w:val="auto"/>
        </w:rPr>
      </w:pPr>
      <w:r>
        <w:rPr>
          <w:rFonts w:ascii="Arial" w:cs="Arial" w:eastAsia="Arial" w:hAnsi="Arial"/>
          <w:sz w:val="16"/>
          <w:szCs w:val="16"/>
          <w:color w:val="auto"/>
        </w:rPr>
        <w:t>Executive further understands that she has seven (7) calendar days following her execution of this Agreement to revoke her acceptance of this Agreement (the “Revocation Period”) and that this Agreement shall not become effective or enforceable until the Revocation Period has expired. Revocation of this Agreement must be made by delivering a written notice of revocation to the Executive Vice</w:t>
      </w:r>
    </w:p>
    <w:p>
      <w:pPr>
        <w:spacing w:after="0" w:line="9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946"/>
          </w:cols>
          <w:pgMar w:left="694" w:top="280" w:right="259" w:bottom="1440" w:gutter="0" w:footer="0" w:header="0"/>
        </w:sectPr>
      </w:pPr>
    </w:p>
    <w:bookmarkStart w:id="175" w:name="page176"/>
    <w:bookmarkEnd w:id="175"/>
    <w:p>
      <w:pPr>
        <w:ind w:left="466"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President, General Counsel. For this revocation to be effective, written notice must be received by the Executive Vice President, General Counsel no later than the close of business on the seventh day after Executive signs this Agreement. Executive understands and acknowledges that no monies will be paid to her pursuant to Section 1 of this Agreement until the Revocation Period has expired.</w:t>
      </w:r>
    </w:p>
    <w:p>
      <w:pPr>
        <w:spacing w:after="0" w:line="26" w:lineRule="exact"/>
        <w:rPr>
          <w:sz w:val="20"/>
          <w:szCs w:val="20"/>
          <w:color w:val="auto"/>
        </w:rPr>
      </w:pPr>
    </w:p>
    <w:p>
      <w:pPr>
        <w:ind w:left="446" w:right="20" w:hanging="446"/>
        <w:spacing w:after="0" w:line="286"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that Executive or Office Depot commences an action for damages, injunctive relief, or to enforce the provisions of the Agreement, the prevailing party in any such action shall be entitled to an award of its reasonable attorneys’ fees and costs, including appellate fees and costs, incurred in connection therewith as determined by the court in any such action. To the extent that any payment or reimbursement by Office Depot of fees or costs pursuant to this Section 8 does not qualify for exclusion from Federal income taxation, Office Depot will make the payment or reimbursement only if Executive incurs the corresponding expense during her lifetime and the court determines that Office Depot is required to make payment or reimbursement of the expense pursuant to this Section 8 no later than two months prior to the last day of the calendar year following the calendar year in which Executive incurs the expense so that Office Depot can and will, make the payment or reimbursement on or before the last day of the calendar year following the calendar year in which Executive incurs the expense. The amount of expenses eligible for such payment or reimbursement by Office Depot during a calendar year will not affect the amount of expenses eligible for such reimbursement or payment by Office Depot in another calendar year, and the right to such payment or reimbursement by Office Depot is not subject to liquidation or exchange for another benefit from Office Depot.</w:t>
      </w:r>
    </w:p>
    <w:p>
      <w:pPr>
        <w:spacing w:after="0" w:line="46" w:lineRule="exact"/>
        <w:rPr>
          <w:rFonts w:ascii="Arial" w:cs="Arial" w:eastAsia="Arial" w:hAnsi="Arial"/>
          <w:sz w:val="16"/>
          <w:szCs w:val="16"/>
          <w:color w:val="auto"/>
        </w:rPr>
      </w:pPr>
    </w:p>
    <w:p>
      <w:pPr>
        <w:ind w:left="446" w:right="120" w:hanging="446"/>
        <w:spacing w:after="0" w:line="259"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Nothing herein shall be construed to waive or disclaim any indemnification rights to which Executive may be entitled under Office Depot’s By-Laws, nor is this Agreement intended to release, waive or disclaim any rights that either Office Depot or Executive may have under an applicable insurance policy.</w:t>
      </w:r>
    </w:p>
    <w:p>
      <w:pPr>
        <w:spacing w:after="0" w:line="59"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Agreement shall be governed in all respects by the laws of the State of Florida. Venue for any dispute arising out of or relating to this Agreement shall be in Palm Beach County, Florida. This Agreement shall not be construed against either party by virtue of the drafting hereof by the Company. If any part of the Agreement should be declared invalid, illegal or unenforceable, the rest of the Agreement will still be valid and enforceable. This Agreement constitutes the entire written understanding of the parties with respect to the subject matter hereof, and may not be modified, amended or revoked except in writing signed by each party.</w:t>
      </w:r>
    </w:p>
    <w:p>
      <w:pPr>
        <w:spacing w:after="0" w:line="34" w:lineRule="exact"/>
        <w:rPr>
          <w:rFonts w:ascii="Arial" w:cs="Arial" w:eastAsia="Arial" w:hAnsi="Arial"/>
          <w:sz w:val="16"/>
          <w:szCs w:val="16"/>
          <w:color w:val="auto"/>
        </w:rPr>
      </w:pPr>
    </w:p>
    <w:p>
      <w:pPr>
        <w:ind w:left="446" w:right="260" w:hanging="446"/>
        <w:spacing w:after="0" w:line="298"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This Agreement will be construed and administered to preserve the exemption from Section 409A, and the guidance thereunder of payments that qualify as short-term deferrals pursuant to Treas. Reg. §1.409A-1(b)(4). Executive acknowledges and agrees that Office Depot has made no representation to Executive as to the tax treatment of the compensation and benefits provided pursuant to this letter and that Executive is solely responsible for all taxes due with respect to such compensation and benefits.</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0966"/>
          </w:cols>
          <w:pgMar w:left="694" w:top="280" w:right="239" w:bottom="1440" w:gutter="0" w:footer="0" w:header="0"/>
        </w:sectPr>
      </w:pPr>
    </w:p>
    <w:bookmarkStart w:id="176" w:name="page177"/>
    <w:bookmarkEnd w:id="176"/>
    <w:p>
      <w:pPr>
        <w:ind w:right="2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CERTIFY THAT I HAVE FULLY READ, HAVE RECEIVED AN EXPLANATION OF, AND COMPLETELY UNDERSTAND THE PROVISIONS OF THIS GENERAL RELEASE, THAT OFFICE DEPOT HEREBY ADVISES ME TO CONSULT WITH AN ATTORNEY BEFORE SIGNING THIS GENERAL RELEASE, THAT I HAVE BEEN GIVEN AT LEAST TWENTY-ONE (21) CALENDAR DAYS TO REVIEW AND CONSIDER THE PROVISIONS OF THIS GENERAL RELEASE, AND THAT I AM SIGNING THIS GENERAL RELEASE FREELY AND VOLUNTARILY, WITHOUT DURESS, COERCION OR UNDUE INFLUENCE.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40" w:type="dxa"/>
            <w:vAlign w:val="bottom"/>
            <w:gridSpan w:val="3"/>
          </w:tcPr>
          <w:p>
            <w:pPr>
              <w:spacing w:after="0"/>
              <w:rPr>
                <w:sz w:val="20"/>
                <w:szCs w:val="20"/>
                <w:color w:val="auto"/>
              </w:rPr>
            </w:pPr>
            <w:r>
              <w:rPr>
                <w:rFonts w:ascii="Arial" w:cs="Arial" w:eastAsia="Arial" w:hAnsi="Arial"/>
                <w:sz w:val="18"/>
                <w:szCs w:val="18"/>
                <w:color w:val="auto"/>
              </w:rPr>
              <w:t>Executive</w:t>
            </w: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Office Depot, Inc.</w:t>
            </w:r>
          </w:p>
        </w:tc>
        <w:tc>
          <w:tcPr>
            <w:tcW w:w="3340" w:type="dxa"/>
            <w:vAlign w:val="bottom"/>
          </w:tcPr>
          <w:p>
            <w:pPr>
              <w:spacing w:after="0"/>
              <w:rPr>
                <w:sz w:val="19"/>
                <w:szCs w:val="19"/>
                <w:color w:val="auto"/>
              </w:rPr>
            </w:pPr>
          </w:p>
        </w:tc>
      </w:tr>
      <w:tr>
        <w:trPr>
          <w:trHeight w:val="433"/>
        </w:trPr>
        <w:tc>
          <w:tcPr>
            <w:tcW w:w="2140" w:type="dxa"/>
            <w:vAlign w:val="bottom"/>
            <w:gridSpan w:val="3"/>
          </w:tcPr>
          <w:p>
            <w:pPr>
              <w:spacing w:after="0"/>
              <w:rPr>
                <w:sz w:val="20"/>
                <w:szCs w:val="20"/>
                <w:color w:val="auto"/>
              </w:rPr>
            </w:pPr>
            <w:r>
              <w:rPr>
                <w:rFonts w:ascii="Arial" w:cs="Arial" w:eastAsia="Arial" w:hAnsi="Arial"/>
                <w:sz w:val="18"/>
                <w:szCs w:val="18"/>
                <w:color w:val="auto"/>
              </w:rPr>
              <w:t>/s/ Daisy Vanderlinde</w:t>
            </w: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/s/ Elisa D. Garcia</w:t>
            </w:r>
          </w:p>
        </w:tc>
        <w:tc>
          <w:tcPr>
            <w:tcW w:w="334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Daisy Vanderlinde</w:t>
            </w:r>
          </w:p>
        </w:tc>
        <w:tc>
          <w:tcPr>
            <w:tcW w:w="2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r>
      <w:tr>
        <w:trPr>
          <w:trHeight w:val="519"/>
        </w:trPr>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1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rPr>
              <w:t>9-1-11</w:t>
            </w:r>
          </w:p>
        </w:tc>
        <w:tc>
          <w:tcPr>
            <w:tcW w:w="11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Date:</w:t>
            </w:r>
          </w:p>
        </w:tc>
        <w:tc>
          <w:tcPr>
            <w:tcW w:w="1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2072"/>
              <w:spacing w:after="0"/>
              <w:rPr>
                <w:sz w:val="20"/>
                <w:szCs w:val="20"/>
                <w:color w:val="auto"/>
              </w:rPr>
            </w:pPr>
            <w:r>
              <w:rPr>
                <w:rFonts w:ascii="Arial" w:cs="Arial" w:eastAsia="Arial" w:hAnsi="Arial"/>
                <w:sz w:val="18"/>
                <w:szCs w:val="18"/>
                <w:color w:val="auto"/>
              </w:rPr>
              <w:t>9-2-11</w:t>
            </w: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20" w:type="dxa"/>
            <w:vAlign w:val="bottom"/>
            <w:gridSpan w:val="4"/>
          </w:tcPr>
          <w:p>
            <w:pPr>
              <w:ind w:left="1060"/>
              <w:spacing w:after="0"/>
              <w:rPr>
                <w:sz w:val="20"/>
                <w:szCs w:val="20"/>
                <w:color w:val="auto"/>
              </w:rPr>
            </w:pPr>
            <w:r>
              <w:rPr>
                <w:rFonts w:ascii="Arial" w:cs="Arial" w:eastAsia="Arial" w:hAnsi="Arial"/>
                <w:sz w:val="18"/>
                <w:szCs w:val="18"/>
                <w:color w:val="auto"/>
              </w:rPr>
              <w:t>Page 5 of 5</w:t>
            </w:r>
          </w:p>
        </w:tc>
        <w:tc>
          <w:tcPr>
            <w:tcW w:w="3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10.38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4"/>
          <w:szCs w:val="14"/>
          <w:b w:val="1"/>
          <w:bCs w:val="1"/>
          <w:color w:val="auto"/>
        </w:rPr>
        <w:t>DEPOT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Elisa D. Garcia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Elisa:</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After our recent discussions, I am pleased to provide to you the revised terms of our offer of employment with Office Depot. We are looking forward to having you as part of our team. This letter confirms the details of the offer, which are set forth below.</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Position: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General Counsel &amp; Corporate Secretary and Executive Committee Member</w:t>
      </w:r>
    </w:p>
    <w:p>
      <w:pPr>
        <w:spacing w:after="0" w:line="211"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Salary: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Annual base salary of $440,000, payable in bi-weekly installments.</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Location: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Office Depot Corporate Office</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Start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To be determined.</w:t>
      </w:r>
    </w:p>
    <w:p>
      <w:pPr>
        <w:spacing w:after="0" w:line="200"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Next Performance Review:</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Performance reviews for the previous calendar year are conducted annually in or around March. To be eligible for an annual performance review and a merit-performance-based salary increase, you must begin employment on or before September 30, 2007.</w:t>
      </w:r>
    </w:p>
    <w:p>
      <w:pPr>
        <w:spacing w:after="0" w:line="194"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Bonus Eligibility:</w:t>
      </w:r>
    </w:p>
    <w:p>
      <w:pPr>
        <w:spacing w:after="0" w:line="20" w:lineRule="exact"/>
        <w:rPr>
          <w:sz w:val="20"/>
          <w:szCs w:val="20"/>
          <w:color w:val="auto"/>
        </w:rPr>
      </w:pPr>
      <w:r>
        <w:rPr>
          <w:sz w:val="20"/>
          <w:szCs w:val="20"/>
          <w:color w:val="auto"/>
        </w:rPr>
        <w:br w:type="column"/>
      </w:r>
    </w:p>
    <w:p>
      <w:pPr>
        <w:ind w:right="20"/>
        <w:spacing w:after="0" w:line="306" w:lineRule="auto"/>
        <w:rPr>
          <w:sz w:val="20"/>
          <w:szCs w:val="20"/>
          <w:color w:val="auto"/>
        </w:rPr>
      </w:pPr>
      <w:r>
        <w:rPr>
          <w:rFonts w:ascii="Arial" w:cs="Arial" w:eastAsia="Arial" w:hAnsi="Arial"/>
          <w:sz w:val="16"/>
          <w:szCs w:val="16"/>
          <w:color w:val="auto"/>
        </w:rPr>
        <w:t>Provided you begin employment on or before September 30, 2007, you will be eligible to participate in the Corporate Bonus Plan (the “Plan”) for 2007. Any bonus payable under the Plan for 2007 will be paid in 2008, on a pro-rata basis. This Plan currently provides a bonus target payout of 70% of your base salary.</w:t>
      </w:r>
    </w:p>
    <w:p>
      <w:pPr>
        <w:spacing w:after="0" w:line="107" w:lineRule="exact"/>
        <w:rPr>
          <w:sz w:val="20"/>
          <w:szCs w:val="20"/>
          <w:color w:val="auto"/>
        </w:rPr>
      </w:pPr>
    </w:p>
    <w:p>
      <w:pPr>
        <w:sectPr>
          <w:pgSz w:w="11900" w:h="16838" w:orient="portrait"/>
          <w:cols w:equalWidth="0" w:num="2">
            <w:col w:w="2620" w:space="720"/>
            <w:col w:w="808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2200 Old Germantown Road | Delray Beach, FL 33445 | T + 561.438.4800</w:t>
      </w:r>
    </w:p>
    <w:p>
      <w:pPr>
        <w:sectPr>
          <w:pgSz w:w="11900" w:h="16838" w:orient="portrait"/>
          <w:cols w:equalWidth="0" w:num="1">
            <w:col w:w="11420"/>
          </w:cols>
          <w:pgMar w:left="240" w:top="125" w:right="2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6"/>
          <w:szCs w:val="16"/>
          <w:color w:val="auto"/>
        </w:rPr>
        <w:t>Car Allowance:</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You are eligible to participate in Office Depot’s Executive Car Allowance Program and will receive a bi-weekly car allowance of $600.00 (a total of $15,600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-742315</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2620" w:space="720"/>
            <w:col w:w="8000"/>
          </w:cols>
          <w:pgMar w:left="240" w:top="847" w:right="319" w:bottom="1440" w:gutter="0" w:footer="0" w:header="0"/>
        </w:sectPr>
      </w:pPr>
    </w:p>
    <w:p>
      <w:pPr>
        <w:spacing w:after="0"/>
        <w:rPr>
          <w:sz w:val="20"/>
          <w:szCs w:val="20"/>
          <w:color w:val="auto"/>
        </w:rPr>
      </w:pPr>
      <w:r>
        <w:rPr>
          <w:rFonts w:ascii="Arial" w:cs="Arial" w:eastAsia="Arial" w:hAnsi="Arial"/>
          <w:sz w:val="16"/>
          <w:szCs w:val="16"/>
          <w:color w:val="auto"/>
        </w:rPr>
        <w:t>Vacation: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Vacation is accrued at the rate of four weeks per year.</w:t>
      </w:r>
    </w:p>
    <w:p>
      <w:pPr>
        <w:spacing w:after="0" w:line="211" w:lineRule="exact"/>
        <w:rPr>
          <w:sz w:val="20"/>
          <w:szCs w:val="20"/>
          <w:color w:val="auto"/>
        </w:rPr>
      </w:pPr>
    </w:p>
    <w:p>
      <w:pPr>
        <w:sectPr>
          <w:pgSz w:w="11900" w:h="16838" w:orient="portrait"/>
          <w:cols w:equalWidth="0" w:num="2">
            <w:col w:w="2620" w:space="720"/>
            <w:col w:w="8000"/>
          </w:cols>
          <w:pgMar w:left="240" w:top="847"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Relocation: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You are eligible to participate in the corporate relocation program. Please refer to the enclosed brochure for information on the benefits available. For more information, please contact Lisa Eckelkamp at (561) 438-0757. Notwithstanding our standard relocation program, however, the Company will provide to you and your family temporary housing adequate to accommodate your needs, including without limitation at least three (3) bedrooms, in the Boca Raton/Delray Beach area.</w:t>
      </w:r>
    </w:p>
    <w:p>
      <w:pPr>
        <w:spacing w:after="0" w:line="170" w:lineRule="exact"/>
        <w:rPr>
          <w:sz w:val="20"/>
          <w:szCs w:val="20"/>
          <w:color w:val="auto"/>
        </w:rPr>
      </w:pPr>
    </w:p>
    <w:p>
      <w:pPr>
        <w:sectPr>
          <w:pgSz w:w="11900" w:h="16838" w:orient="portrait"/>
          <w:cols w:equalWidth="0" w:num="2">
            <w:col w:w="2620" w:space="720"/>
            <w:col w:w="8000"/>
          </w:cols>
          <w:pgMar w:left="240" w:top="847" w:right="319" w:bottom="1440" w:gutter="0" w:footer="0" w:header="0"/>
          <w:type w:val="continuous"/>
        </w:sectPr>
      </w:pPr>
    </w:p>
    <w:p>
      <w:pPr>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You will be eligible to participate in the following benefit plans (participation shall be subject to the terms and waiting periods of the specific plans):</w:t>
      </w:r>
    </w:p>
    <w:p>
      <w:pPr>
        <w:spacing w:after="0" w:line="186" w:lineRule="exact"/>
        <w:rPr>
          <w:sz w:val="20"/>
          <w:szCs w:val="20"/>
          <w:color w:val="auto"/>
        </w:rPr>
      </w:pPr>
    </w:p>
    <w:p>
      <w:pPr>
        <w:sectPr>
          <w:pgSz w:w="11900" w:h="16838" w:orient="portrait"/>
          <w:cols w:equalWidth="0" w:num="2">
            <w:col w:w="2620" w:space="720"/>
            <w:col w:w="8000"/>
          </w:cols>
          <w:pgMar w:left="240" w:top="847" w:right="31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Medical</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Prescription Drug</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Dental</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Vision</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Group Basic Life and Accidental Death &amp; Dismemberment Insurance</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Short and Long Term Group Disability</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Flexible Spending Accounts</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Office Depot, Inc. Retirement Savings Plan (401(k) Plan)</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Deferred Compensation Plan (DCP) (enrollment in the DCP will not be available until January 2008)</w:t>
      </w: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Employee Stock Purchase Plan (ESPP)</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847" w:right="31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6"/>
          <w:szCs w:val="16"/>
          <w:color w:val="auto"/>
        </w:rPr>
        <w:t>Equity Compensation:</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You will receive a new hire sign-on stock option award equal to a market value of One Million Dollars ($1,000,000) on the date of the award subject to approval by the Chairman of the Compensation Committee of the Board of Directors. We expect the award will be approved on or about your date of hire. The value of this award will be determined using the Black-Scholes methodology. The vesting and other terms of the award will be consistent with awards granted to our other officers at your level, which is equal vesting on each of the three one-year anniversaries of the date of grant and with a seven-year award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-1298575</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2480" w:space="720"/>
            <w:col w:w="8220"/>
          </w:cols>
          <w:pgMar w:left="240" w:top="847" w:right="239" w:bottom="1440" w:gutter="0" w:footer="0" w:header="0"/>
        </w:sectPr>
      </w:pPr>
    </w:p>
    <w:p>
      <w:pPr>
        <w:spacing w:after="0"/>
        <w:rPr>
          <w:sz w:val="20"/>
          <w:szCs w:val="20"/>
          <w:color w:val="auto"/>
        </w:rPr>
      </w:pPr>
      <w:r>
        <w:rPr>
          <w:rFonts w:ascii="Arial" w:cs="Arial" w:eastAsia="Arial" w:hAnsi="Arial"/>
          <w:sz w:val="16"/>
          <w:szCs w:val="16"/>
          <w:color w:val="auto"/>
        </w:rPr>
        <w:t>Sign-on Bonus:</w:t>
      </w:r>
    </w:p>
    <w:p>
      <w:pPr>
        <w:spacing w:after="0" w:line="20" w:lineRule="exact"/>
        <w:rPr>
          <w:sz w:val="20"/>
          <w:szCs w:val="20"/>
          <w:color w:val="auto"/>
        </w:rPr>
      </w:pPr>
      <w:r>
        <w:rPr>
          <w:sz w:val="20"/>
          <w:szCs w:val="20"/>
          <w:color w:val="auto"/>
        </w:rPr>
        <w:br w:type="column"/>
      </w:r>
    </w:p>
    <w:p>
      <w:pPr>
        <w:ind w:right="900"/>
        <w:spacing w:after="0" w:line="332" w:lineRule="auto"/>
        <w:rPr>
          <w:sz w:val="20"/>
          <w:szCs w:val="20"/>
          <w:color w:val="auto"/>
        </w:rPr>
      </w:pPr>
      <w:r>
        <w:rPr>
          <w:rFonts w:ascii="Arial" w:cs="Arial" w:eastAsia="Arial" w:hAnsi="Arial"/>
          <w:sz w:val="16"/>
          <w:szCs w:val="16"/>
          <w:color w:val="auto"/>
        </w:rPr>
        <w:t>You will receive a cash sign-on bonus of $162,500, payable ninety (90) days following your first date of employment by Office Depot, subject to normal withholding for wages paid to you.</w:t>
      </w:r>
    </w:p>
    <w:p>
      <w:pPr>
        <w:spacing w:after="0" w:line="139"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Amount:</w:t>
      </w:r>
    </w:p>
    <w:p>
      <w:pPr>
        <w:spacing w:after="0" w:line="20" w:lineRule="exact"/>
        <w:rPr>
          <w:sz w:val="20"/>
          <w:szCs w:val="20"/>
          <w:color w:val="auto"/>
        </w:rPr>
      </w:pPr>
      <w:r>
        <w:rPr>
          <w:sz w:val="20"/>
          <w:szCs w:val="20"/>
          <w:color w:val="auto"/>
        </w:rPr>
        <w:br w:type="column"/>
      </w:r>
    </w:p>
    <w:p>
      <w:pPr>
        <w:ind w:right="240"/>
        <w:spacing w:after="0" w:line="306" w:lineRule="auto"/>
        <w:rPr>
          <w:sz w:val="20"/>
          <w:szCs w:val="20"/>
          <w:color w:val="auto"/>
        </w:rPr>
      </w:pPr>
      <w:r>
        <w:rPr>
          <w:rFonts w:ascii="Arial" w:cs="Arial" w:eastAsia="Arial" w:hAnsi="Arial"/>
          <w:sz w:val="16"/>
          <w:szCs w:val="16"/>
          <w:color w:val="auto"/>
        </w:rPr>
        <w:t>In the event you do not receive vesting of certain stock options scheduled to vest at your current employer in July 2007, you will receive a make-whole amount of $80,000, payable ninety (90) days following your first date of employment by Office Depot, subject to normal withholding for wages paid to you.</w:t>
      </w:r>
    </w:p>
    <w:p>
      <w:pPr>
        <w:spacing w:after="0" w:line="161"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ind w:right="20"/>
        <w:spacing w:after="0" w:line="306" w:lineRule="auto"/>
        <w:rPr>
          <w:sz w:val="20"/>
          <w:szCs w:val="20"/>
          <w:color w:val="auto"/>
        </w:rPr>
      </w:pPr>
      <w:r>
        <w:rPr>
          <w:rFonts w:ascii="Arial" w:cs="Arial" w:eastAsia="Arial" w:hAnsi="Arial"/>
          <w:sz w:val="16"/>
          <w:szCs w:val="16"/>
          <w:color w:val="auto"/>
        </w:rPr>
        <w:t>In the event you do not complete at least one year of employment at Office Depot from the date of your first employment, for any reason other than a termination by the Company “without cause,” you will be required to repay to the Company the Sign-On Bonus and the Make-Whole Amount referred to in the preceding two paragraphs</w:t>
      </w:r>
    </w:p>
    <w:p>
      <w:pPr>
        <w:spacing w:after="0" w:line="161"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spacing w:after="0"/>
        <w:rPr>
          <w:sz w:val="20"/>
          <w:szCs w:val="20"/>
          <w:color w:val="auto"/>
        </w:rPr>
      </w:pPr>
      <w:r>
        <w:rPr>
          <w:rFonts w:ascii="Arial" w:cs="Arial" w:eastAsia="Arial" w:hAnsi="Arial"/>
          <w:sz w:val="16"/>
          <w:szCs w:val="16"/>
          <w:color w:val="auto"/>
        </w:rPr>
        <w:t>Long-Term Incentive Plan:</w:t>
      </w:r>
    </w:p>
    <w:p>
      <w:pPr>
        <w:spacing w:after="0" w:line="20" w:lineRule="exact"/>
        <w:rPr>
          <w:sz w:val="20"/>
          <w:szCs w:val="20"/>
          <w:color w:val="auto"/>
        </w:rPr>
      </w:pPr>
      <w:r>
        <w:rPr>
          <w:sz w:val="20"/>
          <w:szCs w:val="20"/>
          <w:color w:val="auto"/>
        </w:rPr>
        <w:br w:type="column"/>
      </w:r>
    </w:p>
    <w:p>
      <w:pPr>
        <w:spacing w:after="0" w:line="335" w:lineRule="auto"/>
        <w:rPr>
          <w:sz w:val="20"/>
          <w:szCs w:val="20"/>
          <w:color w:val="auto"/>
        </w:rPr>
      </w:pPr>
      <w:r>
        <w:rPr>
          <w:rFonts w:ascii="Arial" w:cs="Arial" w:eastAsia="Arial" w:hAnsi="Arial"/>
          <w:sz w:val="15"/>
          <w:szCs w:val="15"/>
          <w:color w:val="auto"/>
        </w:rPr>
        <w:t>You will be eligible to participate in the Long-Term Incentive Plan at a level commensurate with your position at the time of the grant. Our normal grant cycle for executives is in February of each year, so you will be eligible for an additional equity grant in February 2008, subject of course to Compensation Committee approval of any such grants.</w:t>
      </w:r>
    </w:p>
    <w:p>
      <w:pPr>
        <w:spacing w:after="0" w:line="142"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Non-Compete Agreement: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For and in consideration of the above compensation terms, the sufficiency of which you acknowledge by your acceptance of employment, enclosed is an important document, which requires your execution - the Associate Non-Competition,</w:t>
      </w:r>
    </w:p>
    <w:p>
      <w:pPr>
        <w:spacing w:after="0" w:line="127"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847" w:right="239" w:bottom="1440" w:gutter="0" w:footer="0" w:header="0"/>
          <w:type w:val="continuous"/>
        </w:sectPr>
      </w:pPr>
    </w:p>
    <w:bookmarkStart w:id="180" w:name="page181"/>
    <w:bookmarkEnd w:id="180"/>
    <w:p>
      <w:pPr>
        <w:ind w:left="320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and Non-Solicitation Agreement. Please return this document within ten (10) days hereof (a return envelope has been provided for your convenience). Your offer for employment is also conditioned upon your representation that there are no post-employment obligations (contractual or otherwise) that would limit in any respect your employment with Office Depot and your contemplated duties or otherwise subject Office Depot to liability for breach of any such obligations. Your acceptance of employment shall constitute your affirmation of the foregoing representation.</w:t>
      </w:r>
    </w:p>
    <w:p>
      <w:pPr>
        <w:sectPr>
          <w:pgSz w:w="11900" w:h="16838" w:orient="portrait"/>
          <w:cols w:equalWidth="0" w:num="1">
            <w:col w:w="11400"/>
          </w:cols>
          <w:pgMar w:left="240" w:top="847" w:right="2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Employment at Will / Severance: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employment with Office Depot is at will, and nothing herein shall be construed to constitute an employment agreement or deemed a guarantee of continued employment. In the event that you are terminated due to no fault of your own, you will be entitled to receive (a) a lump sum amount equal to the sum of eighteen (18) months of your annual base salary determined at the time of separation, (b) a lump sum amount equal to eighteen (18) months of the monthly COBRA premium for the type of coverage you may have under the Office Depot group health plan at the time of termination, (c) a pro-rata bonus calculated at “target” under the Plan for the beginning of the calendar year of termination through the date of termination, and (d) a bonus calculated at “target” under the Plan for the calendar year prior to the year of termination to the extent unpaid at the date of termination (collectively, the “Severance Payment”). The Severance Payment, less applicable taxes and other deductions required by law, will be made within thirty (30) days of the expiration of any revocation or waiting periods required by law or within thirty (30) days of the date of your termination if no revocation or waiting periods are required by law; provided, however, that the Severance Payment is expressly conditioned upon your execution of a release in favor of Office Depot, Inc., its affiliates, successors and assigns, and your compliance with the covenants contained in said release. Unless otherwise agreed to in writing by Office Depot, the Severance Payment shall be in</w:t>
      </w:r>
    </w:p>
    <w:p>
      <w:pPr>
        <w:spacing w:after="0" w:line="115" w:lineRule="exact"/>
        <w:rPr>
          <w:sz w:val="20"/>
          <w:szCs w:val="20"/>
          <w:color w:val="auto"/>
        </w:rPr>
      </w:pPr>
    </w:p>
    <w:p>
      <w:pPr>
        <w:sectPr>
          <w:pgSz w:w="11900" w:h="16838" w:orient="portrait"/>
          <w:cols w:equalWidth="0" w:num="2">
            <w:col w:w="2480" w:space="720"/>
            <w:col w:w="8200"/>
          </w:cols>
          <w:pgMar w:left="240" w:top="847"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847" w:right="259" w:bottom="1440" w:gutter="0" w:footer="0" w:header="0"/>
          <w:type w:val="continuous"/>
        </w:sectPr>
      </w:pPr>
    </w:p>
    <w:bookmarkStart w:id="181" w:name="page182"/>
    <w:bookmarkEnd w:id="181"/>
    <w:p>
      <w:pPr>
        <w:ind w:left="320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lieu of any severance payment or benefit under any Office Depot severance plan, policy, program or practice (whether written or unwritten) and, therefore, the Severance Payment shall be the exclusive source of any severance benefits.</w:t>
      </w:r>
    </w:p>
    <w:p>
      <w:pPr>
        <w:sectPr>
          <w:pgSz w:w="11900" w:h="16838" w:orient="portrait"/>
          <w:cols w:equalWidth="0" w:num="1">
            <w:col w:w="11420"/>
          </w:cols>
          <w:pgMar w:left="240" w:top="847"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 Offer: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and provisions of this revised offer letter constitute the entire and complete offer of employment by Office Depot to you to join our Company as Executive Vice President, General Counsel and Corporate Secretary. No other elements of compensation, “make whole” amounts, loss on sale of residence or other payments or benefits of any kind may be inferred from any of the terms hereof, which are intended to be the complete and final written terms of our offer. No oral representations made to you by any person, including the Company’s search firm or any officer of the Company, shall have any force or effect unless contained or specifically referred to in this revised offer letter.</w:t>
      </w:r>
    </w:p>
    <w:p>
      <w:pPr>
        <w:spacing w:after="0" w:line="147" w:lineRule="exact"/>
        <w:rPr>
          <w:sz w:val="20"/>
          <w:szCs w:val="20"/>
          <w:color w:val="auto"/>
        </w:rPr>
      </w:pPr>
    </w:p>
    <w:p>
      <w:pPr>
        <w:sectPr>
          <w:pgSz w:w="11900" w:h="16838" w:orient="portrait"/>
          <w:cols w:equalWidth="0" w:num="2">
            <w:col w:w="2480" w:space="720"/>
            <w:col w:w="8220"/>
          </w:cols>
          <w:pgMar w:left="240" w:top="847" w:right="239" w:bottom="1440" w:gutter="0" w:footer="0" w:header="0"/>
          <w:type w:val="continuous"/>
        </w:sectPr>
      </w:pPr>
    </w:p>
    <w:p>
      <w:pPr>
        <w:jc w:val="both"/>
        <w:ind w:right="400"/>
        <w:spacing w:after="0" w:line="259" w:lineRule="auto"/>
        <w:rPr>
          <w:sz w:val="20"/>
          <w:szCs w:val="20"/>
          <w:color w:val="auto"/>
        </w:rPr>
      </w:pPr>
      <w:r>
        <w:rPr>
          <w:rFonts w:ascii="Arial" w:cs="Arial" w:eastAsia="Arial" w:hAnsi="Arial"/>
          <w:sz w:val="18"/>
          <w:szCs w:val="18"/>
          <w:color w:val="auto"/>
        </w:rPr>
        <w:t>Office Depot is required to verify your eligibility to work in the United States. Accordingly, on your first day of work at Office Depot, you must complete an Employment Eligibility Verification Form and provide original documentation establishing your identity and employment eligibility. The List of Acceptable Documents for this purpose is enclosed for your reference.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If you fail to provide the necessary documentation to establish your identity and eligibility to work in the United States by the close of business of your second day of work, you will not be permitted to work at Office Depot.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Enclosed is the Drug Test Chain of Custody form you must take to a lab in your area. The lab will fill out the form for you. Be sure to take a photo ID with you. If you have any questions regarding the drug lab test, please call Daisy Vanderlinde at 561-438-7595. Please call ChoicePoint at 800-939-4782 and provide your zip code in order to ascertain the collection site that is most convenient for you. Let ChoicePoint know that you have a Quest Diagnostics lab sheet, in order to be directed to the correct lab.</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Please note that this is a letter of offer and is contingent on the satisfactory outcome of both a drug screen and background investigation. This conditional offer is also contingent upon the signing of a non-compete agreement, which is enclosed and verification of all data contained in your submitted resume. This offer will be considered rescinded if not accepted within ten (10) days hereof.</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Elisa, we are excited to have you join management as our Executive Vice President, General Counsel &amp; Corporate Secretary and as the newest member of our Executive Committee. I look forward to your response as soon as practicable.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7" w:right="2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 Odland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 Odland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847"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10.39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OFFER LETTER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December 31, 2008</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Office Depot, Inc., a Delaware corporation (“Company”), set out the terms of its offer of employment to the executive named below (“Executive”) pursuant to a letter with the date specified below (“Offer Letter”). The Company and the Executive desire to amend the severance provisions of the Offer Letter (“Amendment”) in order to evidence documentary compliance with Section 409A of the Internal Revenue Code of 1986, as amended, and the regulatory guidance thereunder, effective on the date specified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Elisa Garcia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Offer Letter: May 15, 2007</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the parties hereto agree as follows:</w:t>
      </w:r>
    </w:p>
    <w:p>
      <w:pPr>
        <w:spacing w:after="0" w:line="132" w:lineRule="exact"/>
        <w:rPr>
          <w:sz w:val="20"/>
          <w:szCs w:val="20"/>
          <w:color w:val="auto"/>
        </w:rPr>
      </w:pPr>
    </w:p>
    <w:p>
      <w:pPr>
        <w:ind w:right="24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any quoted language herein, which shall be inserted into your Offer Letter, the parties intend for said quoted language to control to the extent that there is any conflict with the language in the original Offer Letter.</w:t>
      </w:r>
    </w:p>
    <w:p>
      <w:pPr>
        <w:spacing w:after="0" w:line="131"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temporary housing arrangement specified in the Offer Letter and all payments related to such temporary housing arrangement were completed on or about August 15, 2007.</w:t>
      </w:r>
    </w:p>
    <w:p>
      <w:pPr>
        <w:spacing w:after="0" w:line="131"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extent that your Offer Letter contains language regarding the execution of a release of claims and regarding the time and form of payment of the severance benefits, the below language is hereby inserted in your Offer Letter in lieu of such references:</w:t>
      </w:r>
    </w:p>
    <w:p>
      <w:pPr>
        <w:spacing w:after="0" w:line="132"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 Company must deliver to you a customary release agreement (the “</w:t>
      </w:r>
      <w:r>
        <w:rPr>
          <w:rFonts w:ascii="Arial" w:cs="Arial" w:eastAsia="Arial" w:hAnsi="Arial"/>
          <w:sz w:val="15"/>
          <w:szCs w:val="15"/>
          <w:u w:val="single" w:color="auto"/>
          <w:color w:val="auto"/>
        </w:rPr>
        <w:t>Release</w:t>
      </w:r>
      <w:r>
        <w:rPr>
          <w:rFonts w:ascii="Arial" w:cs="Arial" w:eastAsia="Arial" w:hAnsi="Arial"/>
          <w:sz w:val="15"/>
          <w:szCs w:val="15"/>
          <w:color w:val="auto"/>
        </w:rPr>
        <w:t>”) within seven days following the date of your employment termination. As a condition to receipt of the severance benefits specified in this section, you must (i) sign the Release and return the signed Release to the Company within the time period prescribed in the Release (which will not be more than 45 days after the Company delivers the Release to you), and (ii) not revoke the Release within any seven-day revocation period that applies to you under the Age Discrimination in Employment Act of 1967, as amended; the total period of time described in</w:t>
      </w:r>
    </w:p>
    <w:p>
      <w:pPr>
        <w:spacing w:after="0" w:line="3" w:lineRule="exact"/>
        <w:rPr>
          <w:sz w:val="20"/>
          <w:szCs w:val="20"/>
          <w:color w:val="auto"/>
        </w:rPr>
      </w:pPr>
    </w:p>
    <w:p>
      <w:pPr>
        <w:ind w:right="120" w:firstLine="8"/>
        <w:spacing w:after="0" w:line="255" w:lineRule="auto"/>
        <w:tabs>
          <w:tab w:leader="none" w:pos="2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and (ii) above is the “Release Period.” The Company will pay the severance benefits specified in this section to you in a lump sum within 15 days following the expiration of the Release Period. In the event you decline or fail for any reason to timely execute and deliver the Release or you revoke the Release, then you will not be entitled to the severance benefits specified in this section.”</w:t>
      </w:r>
    </w:p>
    <w:p>
      <w:pPr>
        <w:sectPr>
          <w:pgSz w:w="11900" w:h="16838" w:orient="portrait"/>
          <w:cols w:equalWidth="0" w:num="1">
            <w:col w:w="11420"/>
          </w:cols>
          <w:pgMar w:left="240" w:top="125" w:right="23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The following new section entitled “</w:t>
      </w:r>
      <w:r>
        <w:rPr>
          <w:rFonts w:ascii="Arial" w:cs="Arial" w:eastAsia="Arial" w:hAnsi="Arial"/>
          <w:sz w:val="18"/>
          <w:szCs w:val="18"/>
          <w:b w:val="1"/>
          <w:bCs w:val="1"/>
          <w:color w:val="auto"/>
        </w:rPr>
        <w:t>Tax Treatment</w:t>
      </w:r>
      <w:r>
        <w:rPr>
          <w:rFonts w:ascii="Arial" w:cs="Arial" w:eastAsia="Arial" w:hAnsi="Arial"/>
          <w:sz w:val="18"/>
          <w:szCs w:val="18"/>
          <w:color w:val="auto"/>
        </w:rPr>
        <w:t>” shall be inserted at the end of the Offer Letter:</w:t>
      </w:r>
    </w:p>
    <w:p>
      <w:pPr>
        <w:spacing w:after="0" w:line="212" w:lineRule="exact"/>
        <w:rPr>
          <w:sz w:val="20"/>
          <w:szCs w:val="20"/>
          <w:color w:val="auto"/>
        </w:rPr>
      </w:pPr>
    </w:p>
    <w:p>
      <w:pPr>
        <w:ind w:left="1580" w:right="140" w:hanging="1579"/>
        <w:spacing w:after="0" w:line="294" w:lineRule="auto"/>
        <w:tabs>
          <w:tab w:leader="none" w:pos="1560" w:val="left"/>
        </w:tabs>
        <w:rPr>
          <w:sz w:val="20"/>
          <w:szCs w:val="20"/>
          <w:color w:val="auto"/>
        </w:rPr>
      </w:pPr>
      <w:r>
        <w:rPr>
          <w:rFonts w:ascii="Arial" w:cs="Arial" w:eastAsia="Arial" w:hAnsi="Arial"/>
          <w:sz w:val="18"/>
          <w:szCs w:val="18"/>
          <w:b w:val="1"/>
          <w:bCs w:val="1"/>
          <w:color w:val="auto"/>
        </w:rPr>
        <w:t>“Tax Treatment:</w:t>
      </w:r>
      <w:r>
        <w:rPr>
          <w:sz w:val="20"/>
          <w:szCs w:val="20"/>
          <w:color w:val="auto"/>
        </w:rPr>
        <w:tab/>
      </w:r>
      <w:r>
        <w:rPr>
          <w:rFonts w:ascii="Arial" w:cs="Arial" w:eastAsia="Arial" w:hAnsi="Arial"/>
          <w:sz w:val="16"/>
          <w:szCs w:val="16"/>
          <w:color w:val="auto"/>
        </w:rPr>
        <w:t>This letter will be construed and administered to preserve the exemption from Section 409A of the Internal Revenue Code of 1986, as amended, and the guidance thereunder of payments that qualify as short-term deferrals pursuant to Treas. Reg. §1.409A-1(b)(4) or that qualify for the two-times compensation exemption of Treas. Reg. §1.409A-1(b)(9)(iii). You acknowledge and agree that the Company has made no representation to you as to the tax treatment of the compensation and benefits provided pursuant to this letter and that you are solely responsible for all taxes due with respect to such compensation and benefits.”</w:t>
      </w:r>
    </w:p>
    <w:p>
      <w:pPr>
        <w:spacing w:after="0" w:line="122"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 Depot,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R. Calkins</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12"/>
        </w:trPr>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Stephen R. Calkins</w:t>
            </w:r>
          </w:p>
        </w:tc>
      </w:tr>
      <w:tr>
        <w:trPr>
          <w:trHeight w:val="210"/>
        </w:trPr>
        <w:tc>
          <w:tcPr>
            <w:tcW w:w="64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Vice President, Associate General Counsel</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Elisa D. Garcia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28816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Name:</w:t>
        <w:tab/>
        <w:t>Elisa Garcia</w:t>
      </w:r>
    </w:p>
    <w:p>
      <w:pPr>
        <w:spacing w:after="0" w:line="15"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12-17-08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6985</wp:posOffset>
            </wp:positionV>
            <wp:extent cx="24523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DEPOT,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RETENTION AGREEMENT</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This Retention Agreement (hereinafter, the “Agreement”), by and between Office Depot, Inc. (the “Company”) and Elisa D. Garcia C. (“Executive”), is effective as of the date signed by Executive (the “Effective Date”). Both the Company and Executive are hereinafter individually referred to as a “Party” and jointly referred to as “Parties” in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currently serves as the Executive Vice President, General Counsel &amp; Corporate Secretary for the Company; and</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Executive has an Offer Letter dated May 15, 2007, as amended December 31, 2008, and as may be amended from time to time (collectively, the “Offer Letter”), which provides for severance benefits if certain requirements are met in the event of Executive’s separation from employment with the Company; and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Company has determined that it is in the best interests of the Company and its shareholders to assure that the Company will continue to have the dedication of Executive and therefore desires to provide Executive with a cash payment if Executive remains employed by the Company for a specified period of time; and</w:t>
      </w:r>
    </w:p>
    <w:p>
      <w:pPr>
        <w:spacing w:after="0" w:line="14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WHEREAS, any benefits Executive may become entitled to under this Agreement shall be in addition to any severance benefits Executive may become entitled to pursuant to the Offer Letter, or as set forth in any then applicable Change in Control Agreement the Executive and the Company may be Parties to; and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Executive have determined it is in their mutual best interests to enter into this Agreement.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mutual agreements and provisions contained herein, and intending to be legally bound hereby, the Parties hereto agree as follows:</w:t>
      </w:r>
    </w:p>
    <w:p>
      <w:pPr>
        <w:spacing w:after="0" w:line="24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RETENTION PERIOD</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Unless earlier terminated as hereinafter provided, this Agreement shall commence on the Effective Date hereof and shall end on November 1, 2013 (the “Retention Period”).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separations from employment as provided below.</w:t>
      </w:r>
    </w:p>
    <w:p>
      <w:pPr>
        <w:spacing w:after="0" w:line="25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6" w:lineRule="exact"/>
        <w:rPr>
          <w:rFonts w:ascii="Arial" w:cs="Arial" w:eastAsia="Arial" w:hAnsi="Arial"/>
          <w:sz w:val="18"/>
          <w:szCs w:val="18"/>
          <w:b w:val="1"/>
          <w:bCs w:val="1"/>
          <w:color w:val="auto"/>
        </w:rPr>
      </w:pPr>
    </w:p>
    <w:p>
      <w:pPr>
        <w:ind w:left="460" w:right="434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For purposes of this Agreement, the following terms shall have the meanings specified below: 2.1 “</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Retention Agreement.</w:t>
      </w:r>
    </w:p>
    <w:p>
      <w:pPr>
        <w:sectPr>
          <w:pgSz w:w="11900" w:h="16838" w:orient="portrait"/>
          <w:cols w:equalWidth="0" w:num="1">
            <w:col w:w="11420"/>
          </w:cols>
          <w:pgMar w:left="240" w:top="125" w:right="23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any one of the following:</w:t>
      </w:r>
    </w:p>
    <w:p>
      <w:pPr>
        <w:spacing w:after="0" w:line="171" w:lineRule="exact"/>
        <w:rPr>
          <w:sz w:val="20"/>
          <w:szCs w:val="20"/>
          <w:color w:val="auto"/>
        </w:rPr>
      </w:pPr>
    </w:p>
    <w:p>
      <w:pPr>
        <w:ind w:firstLine="464"/>
        <w:spacing w:after="0" w:line="298"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continued failure of the Executive to perform substantially the Executive’s duties with the Company or one of its affiliates (other than any such failure resulting from incapacity due to physical or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and providing the Executive with thirty (30) days to cure, or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engaging by the Executive in illegal conduct or gross misconduct in violation of the Company’s Code of Ethical Behavior.</w:t>
      </w:r>
    </w:p>
    <w:p>
      <w:pPr>
        <w:spacing w:after="0" w:line="17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Any act, or failure to act, based upon authority given pursuant to a resolution duty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Company’s Board of Directors, finding that, in the good faith opinion of the Board, the Executive is guilty of the conduct described in subsection (a) or (b) above, and specifying the particulars thereof in detail.</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and the regulations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Company</w:t>
      </w:r>
      <w:r>
        <w:rPr>
          <w:rFonts w:ascii="Arial" w:cs="Arial" w:eastAsia="Arial" w:hAnsi="Arial"/>
          <w:sz w:val="18"/>
          <w:szCs w:val="18"/>
          <w:color w:val="auto"/>
        </w:rPr>
        <w:t>” shall mean Office Depot, Inc. or any successor to its business and/or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this Agreement is signed by the Executive.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Executive</w:t>
      </w:r>
      <w:r>
        <w:rPr>
          <w:rFonts w:ascii="Arial" w:cs="Arial" w:eastAsia="Arial" w:hAnsi="Arial"/>
          <w:sz w:val="18"/>
          <w:szCs w:val="18"/>
          <w:color w:val="auto"/>
        </w:rPr>
        <w:t>” shall mean Elisa D. Garcia C.</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Notice of Separation</w:t>
      </w:r>
      <w:r>
        <w:rPr>
          <w:rFonts w:ascii="Arial" w:cs="Arial" w:eastAsia="Arial" w:hAnsi="Arial"/>
          <w:sz w:val="16"/>
          <w:szCs w:val="16"/>
          <w:color w:val="auto"/>
        </w:rPr>
        <w:t>” shall mean a written notice from one Party to the other Party under Section 4.5 specifying the Separation Date and which, if required by this Agreement, sets forth in reasonable detail the facts and circumstances relating to the basis for Executive’s separation from employment.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Offer Letter</w:t>
      </w:r>
      <w:r>
        <w:rPr>
          <w:rFonts w:ascii="Arial" w:cs="Arial" w:eastAsia="Arial" w:hAnsi="Arial"/>
          <w:sz w:val="16"/>
          <w:szCs w:val="16"/>
          <w:color w:val="auto"/>
        </w:rPr>
        <w:t>” shall mean Executive’s Offer Letter dated May 15, 2007, as amended December 31, 2008, and as may be amended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Company and the Executive individually or collectively, respectively.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80" w:right="259" w:bottom="1440" w:gutter="0" w:footer="0" w:header="0"/>
        </w:sectPr>
      </w:pPr>
    </w:p>
    <w:bookmarkStart w:id="187" w:name="page188"/>
    <w:bookmarkEnd w:id="1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 “</w:t>
      </w:r>
      <w:r>
        <w:rPr>
          <w:rFonts w:ascii="Arial" w:cs="Arial" w:eastAsia="Arial" w:hAnsi="Arial"/>
          <w:sz w:val="18"/>
          <w:szCs w:val="18"/>
          <w:u w:val="single" w:color="auto"/>
          <w:color w:val="auto"/>
        </w:rPr>
        <w:t>Release Period</w:t>
      </w:r>
      <w:r>
        <w:rPr>
          <w:rFonts w:ascii="Arial" w:cs="Arial" w:eastAsia="Arial" w:hAnsi="Arial"/>
          <w:sz w:val="18"/>
          <w:szCs w:val="18"/>
          <w:color w:val="auto"/>
        </w:rPr>
        <w:t>” shall be as defined in Section 3.2.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Retention Payment</w:t>
      </w:r>
      <w:r>
        <w:rPr>
          <w:rFonts w:ascii="Arial" w:cs="Arial" w:eastAsia="Arial" w:hAnsi="Arial"/>
          <w:sz w:val="18"/>
          <w:szCs w:val="18"/>
          <w:color w:val="auto"/>
        </w:rPr>
        <w:t>” shall be as defined in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Retention Payment Date</w:t>
      </w:r>
      <w:r>
        <w:rPr>
          <w:rFonts w:ascii="Arial" w:cs="Arial" w:eastAsia="Arial" w:hAnsi="Arial"/>
          <w:sz w:val="18"/>
          <w:szCs w:val="18"/>
          <w:color w:val="auto"/>
        </w:rPr>
        <w:t>” or “</w:t>
      </w:r>
      <w:r>
        <w:rPr>
          <w:rFonts w:ascii="Arial" w:cs="Arial" w:eastAsia="Arial" w:hAnsi="Arial"/>
          <w:sz w:val="18"/>
          <w:szCs w:val="18"/>
          <w:u w:val="single" w:color="auto"/>
          <w:color w:val="auto"/>
        </w:rPr>
        <w:t>Retention Payment Dates</w:t>
      </w:r>
      <w:r>
        <w:rPr>
          <w:rFonts w:ascii="Arial" w:cs="Arial" w:eastAsia="Arial" w:hAnsi="Arial"/>
          <w:sz w:val="18"/>
          <w:szCs w:val="18"/>
          <w:color w:val="auto"/>
        </w:rPr>
        <w:t>” shall be as defined in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Retention Period</w:t>
      </w:r>
      <w:r>
        <w:rPr>
          <w:rFonts w:ascii="Arial" w:cs="Arial" w:eastAsia="Arial" w:hAnsi="Arial"/>
          <w:sz w:val="18"/>
          <w:szCs w:val="18"/>
          <w:color w:val="auto"/>
        </w:rPr>
        <w:t>” shall be as defined in Section 1.</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Separation Date</w:t>
      </w:r>
      <w:r>
        <w:rPr>
          <w:rFonts w:ascii="Arial" w:cs="Arial" w:eastAsia="Arial" w:hAnsi="Arial"/>
          <w:sz w:val="18"/>
          <w:szCs w:val="18"/>
          <w:color w:val="auto"/>
        </w:rPr>
        <w:t>” shall mean the date specified in the Notice of Separation (which may be immediate) as the date upon which Executive’s employment with the Company is to terminate.</w:t>
      </w:r>
    </w:p>
    <w:p>
      <w:pPr>
        <w:spacing w:after="0" w:line="248"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RETENTION PAYMENT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 General</w:t>
      </w:r>
      <w:r>
        <w:rPr>
          <w:rFonts w:ascii="Arial" w:cs="Arial" w:eastAsia="Arial" w:hAnsi="Arial"/>
          <w:sz w:val="16"/>
          <w:szCs w:val="16"/>
          <w:color w:val="auto"/>
        </w:rPr>
        <w:t>. In consideration of Executive’s agreement to continue employment with the Company during the Retention Period, Executive is eligible to earn a retention payment of up to one-and-a-half million dollars ($1,500,000.00) (“Retention Payment”), if Executive remains actively employed until the last day of the Retention Period. The Retention Payment shall be payable to Executive in three equal installments of five-hundred thousand dollars ($500,000), with the first payment vested on November 1, 2011, the second payment vested on November 1, 2012, and the final payment vested on November 1, 2013 (each, a “Retention Payment Date” and collectively, the “Retention Payment Dates”); provided that, Executive remains actively employed until each Retention Payment Date. Each installment payable to Executive under this Section shall be paid to Executive within thirty (30) days after each such Retention Payment Date. If prior to any Retention Payment Date, Executive’s employment is terminated: (i) by the Company as a result of a termination for Cause, or (ii) by Executive for any reason, the remaining portion of the Retention Payment which has not yet vested shall be immediately forfeited. Upon Executive’s receipt of the full Retention Payment under this Agreement, the Company shall have no further obligation to Executive with respect to the subject matter under this Agreement. This Agreement shall terminate upon the expiration of the Retention Period.</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Retention Payment Upon Involuntary Termination Without Cause</w:t>
      </w:r>
      <w:r>
        <w:rPr>
          <w:rFonts w:ascii="Arial" w:cs="Arial" w:eastAsia="Arial" w:hAnsi="Arial"/>
          <w:sz w:val="16"/>
          <w:szCs w:val="16"/>
          <w:color w:val="auto"/>
        </w:rPr>
        <w:t>. If Executive’s employment is involuntarily terminated prior to November 1, 2013 by the Company for any reason other than Cause, any such termination shall result in an immediate vesting of the remaining portion of the Retention Payment which has not yet vested. Such Retention Payment shall be payable to Executive in addition to any severance benefits that may be payable to Executive pursuant to the Offer Letter upon separation from employment, or as set forth in any then applicable Change in Control Agreement the Executive and the Company may be Parties to. Any amounts due under this Section 3.2 by Company are contingent upon Executive executing the Company’s customary release and covenant-not-to-sue agreement in favor of the Company, its officers, directors, employees, agents, parent corporation or subsidiaries, affiliates or divisions, its successors, assigns, beneficiaries, servants, legal representatives, insures and heirs. The Company shall provide the proposed release to Executive not later than seven (7) days following Executive’s Separation Date. Executive must (i) execute and return the release to the Employer within the period specified in the release (which will not be more than 45 days after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188" w:name="page189"/>
    <w:bookmarkEnd w:id="188"/>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Employer delivers the release to Executive) and (ii) not revoke the release within any seven-day revocation period that applies to Executive under the Age Discrimination in Employment Act of 1967, as amended; the total period of time described in (i) and (ii) above is the “Release Period.” If Executive has not executed and delivered the release to the Company, and the release has not become irrevocable, as specified above, the Company’s obligations under this Section 3.2 will terminate. Otherwise, the Company will make payment of the amount payable under this Section 3.2 to Executive within fifteen (15) days after the expiration of the Release Period.</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Section 409A</w:t>
      </w:r>
      <w:r>
        <w:rPr>
          <w:rFonts w:ascii="Arial" w:cs="Arial" w:eastAsia="Arial" w:hAnsi="Arial"/>
          <w:sz w:val="16"/>
          <w:szCs w:val="16"/>
          <w:color w:val="auto"/>
        </w:rPr>
        <w:t>. Any Retention Payment paid pursuant to Sections 3.1 or 3.2 is intended to constitute a payment pursuant to the “short-term deferral” exception under Code Section 409A as set forth in Section 1.409A-1(b)(4) of the Treasury Regulations, and this Agreement shall be interpreted consistent with such intent. To the extent applicable, this Agreement shall at all times be operated in accordance with the requirements of Code Section 409A, including any applicable exceptions. The Company shall have authority to take action, or refrain from taking any action, with respect to the payments and benefits under this Agreement that is reasonably necessary to comply with Code Section 409A. If, at the time of Executive’s separation from service (within the meaning of Code Section 409A), (i) Executive is a specified employee (within the meaning of Code Section 409A and using the identification methodology selected by the Company from time to time) and (ii) the Company shall make a good faith determination that an amount payable hereunder constitutes nonqualified deferred compensation (within the meaning of Code Section 409A) the payment of which is required to be delayed pursuant to the six-month delay rule set forth in Code Section 409A in order to avoid taxes or penalties under Code Section 409A, then the Company shall not pay such amount on the otherwise scheduled payment date but shall instead accumulate such amount and pay it on the first business day after such six-month period. Any payment under Section 3.2 shall be triggered only by a “separation from service” within the meaning of Code Section 409A.</w:t>
      </w:r>
    </w:p>
    <w:p>
      <w:pPr>
        <w:spacing w:after="0" w:line="243"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Executive’s continuing or future participation in any plan, practice, policy or program provided by the Company for which Executive may qualify, nor shall anything in this Agreement limit or otherwise affect any rights Executive may have under any contract or agreement with the Company.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deduct and withhold from any amounts payable under this Agreement such federal, state, local, foreign or other taxes as are required to be withheld pursuant to any applicable law or regulation.</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to Executive and, without the prior written consent of the Company, shall not be assignable by Executive otherwise than by will or the laws of descent and distribution, and any assignment in violation of this Agreement shall be void.</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20"/>
          </w:cols>
          <w:pgMar w:left="240" w:top="280" w:right="339" w:bottom="1440" w:gutter="0" w:footer="0" w:header="0"/>
        </w:sectPr>
      </w:pPr>
    </w:p>
    <w:bookmarkStart w:id="189" w:name="page190"/>
    <w:bookmarkEnd w:id="18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required or permitted hereunder shall be in writing and shall be deemed to have been duly given when delivered or seven days after mailing if mailed first class, certified mail, postage prepaid, addressed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Office Depot, Inc.</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 EVP, Human Resources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6600 North Military Trail</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Boca Raton, Florida 33496</w:t>
      </w:r>
    </w:p>
    <w:p>
      <w:pPr>
        <w:spacing w:after="0" w:line="165"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color w:val="auto"/>
        </w:rPr>
        <w:t>If to Executive:</w:t>
      </w:r>
      <w:r>
        <w:rPr>
          <w:sz w:val="20"/>
          <w:szCs w:val="20"/>
          <w:color w:val="auto"/>
        </w:rPr>
        <w:tab/>
      </w:r>
      <w:r>
        <w:rPr>
          <w:rFonts w:ascii="Arial" w:cs="Arial" w:eastAsia="Arial" w:hAnsi="Arial"/>
          <w:sz w:val="16"/>
          <w:szCs w:val="16"/>
          <w:color w:val="auto"/>
        </w:rPr>
        <w:t>To Executive’s last known address on file with the Company.</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of the Parties hereto in respect of the subject matter contained herein and, except as otherwise provided herein,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canceled. None of the Parties shall be liable or bound to any other Party in any manner by any representations and warranties or covenants relating to such subject matter except as specifically set forth herein.</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Upon any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Waiver</w:t>
      </w:r>
      <w:r>
        <w:rPr>
          <w:rFonts w:ascii="Arial" w:cs="Arial" w:eastAsia="Arial" w:hAnsi="Arial"/>
          <w:sz w:val="16"/>
          <w:szCs w:val="16"/>
          <w:color w:val="auto"/>
        </w:rPr>
        <w:t>. Failure of either Party to insist, in one or more instances, on performance by the 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80" w:right="259" w:bottom="1440" w:gutter="0" w:footer="0" w:header="0"/>
        </w:sectPr>
      </w:pPr>
    </w:p>
    <w:bookmarkStart w:id="190" w:name="page191"/>
    <w:bookmarkEnd w:id="19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No provision of this Agreement may be amended, modified, waived or discharged except by a written document signed by Executive and a duly authorized officer of the Company.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right or power, preclude any other or further exercise thereof or the exercise of any other right or power. No agreements or representations, oral or otherwise, express or implied, with respect to the subject matter hereof have been made by either Party, which are not set forth expressly in this Agreement.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and effect of this Agreement shall be governed by and be construed and enforced in accordance with the laws of the State of Florida.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jc w:val="right"/>
        <w:ind w:right="2480"/>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Elisa D. Garcia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Elisa D. Garcia 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R. Austrian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Neil R. Austrian</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Interim Chairman and Chief Executive Officer</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240" w:top="280" w:right="4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41.1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FIRST AMENDMENT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FIRST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February 24, 2012, to the Amended and Restated Credit Agreement dated as of May 25,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Office Depot, Inc., Office Depot International (UK) Ltd., Office Depot UK Ltd., Office Depot International B.V.,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Depot B.V., Office Depot Finance B.V., OD International (Luxembourg) Finance S.À R.L. and Viking Finance (Ireland) Ltd.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subsidiaries of Office Depot, Inc. from time to time parties thereto, the several banks and other institutions from time to time parties thereto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London Branch, as European administrative agent and European collateral agent,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US collateral agent, Bank of America, N.A., as syndication agent, and Citibank, N.A.,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documentation agents.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WHEREAS, pursuant to the Credit Agreement, the Lenders have agreed to make, and have made, certain loans and other extensions of credit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Borrowers;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Borrowers have requested that certain provisions of the Credit Agreement be amended as set forth herein;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Lenders are willing to agree to such amendment on the terms set forth herein;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mutual covenants contained herein, the undersigned hereby agree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but not otherwise defined herein shall have the meanings assigned to them in the Credit Agreement.</w:t>
      </w:r>
    </w:p>
    <w:p>
      <w:pPr>
        <w:spacing w:after="0" w:line="194" w:lineRule="exact"/>
        <w:rPr>
          <w:sz w:val="20"/>
          <w:szCs w:val="20"/>
          <w:color w:val="auto"/>
        </w:rPr>
      </w:pPr>
    </w:p>
    <w:p>
      <w:pPr>
        <w:ind w:left="660" w:hanging="19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Amendments to Section 1.01 (Defined Terms)</w:t>
      </w:r>
      <w:r>
        <w:rPr>
          <w:rFonts w:ascii="Arial" w:cs="Arial" w:eastAsia="Arial" w:hAnsi="Arial"/>
          <w:sz w:val="18"/>
          <w:szCs w:val="18"/>
          <w:color w:val="auto"/>
        </w:rPr>
        <w:t>. Section 1.01 of the Credit Agreement is hereby amended as follows: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by deleting “Citibank, N.A.” in the definition of “Issuing Bank”; and</w:t>
      </w:r>
    </w:p>
    <w:p>
      <w:pPr>
        <w:spacing w:after="0" w:line="90" w:lineRule="exact"/>
        <w:rPr>
          <w:rFonts w:ascii="Arial" w:cs="Arial" w:eastAsia="Arial" w:hAnsi="Arial"/>
          <w:sz w:val="18"/>
          <w:szCs w:val="18"/>
          <w:color w:val="auto"/>
        </w:rPr>
      </w:pPr>
    </w:p>
    <w:p>
      <w:pPr>
        <w:ind w:right="180" w:firstLine="921"/>
        <w:spacing w:after="0" w:line="332" w:lineRule="auto"/>
        <w:tabs>
          <w:tab w:leader="none" w:pos="1171" w:val="left"/>
        </w:tabs>
        <w:numPr>
          <w:ilvl w:val="2"/>
          <w:numId w:val="118"/>
        </w:numPr>
        <w:rPr>
          <w:rFonts w:ascii="Arial" w:cs="Arial" w:eastAsia="Arial" w:hAnsi="Arial"/>
          <w:sz w:val="16"/>
          <w:szCs w:val="16"/>
          <w:color w:val="auto"/>
        </w:rPr>
      </w:pPr>
      <w:r>
        <w:rPr>
          <w:rFonts w:ascii="Arial" w:cs="Arial" w:eastAsia="Arial" w:hAnsi="Arial"/>
          <w:sz w:val="16"/>
          <w:szCs w:val="16"/>
          <w:color w:val="auto"/>
        </w:rPr>
        <w:t>by inserting immediately after the phrase “other than Immaterial Subsidiaries” in the definition of “Loan Parties” the phrase “and any domestic subsidiary that is a direct or indirect subsidiary of a Foreign Subsidiary that is treated as a corporation for purposes of the Code”.</w:t>
      </w:r>
    </w:p>
    <w:p>
      <w:pPr>
        <w:spacing w:after="0" w:line="85" w:lineRule="exact"/>
        <w:rPr>
          <w:sz w:val="20"/>
          <w:szCs w:val="20"/>
          <w:color w:val="auto"/>
        </w:rPr>
      </w:pPr>
    </w:p>
    <w:p>
      <w:pPr>
        <w:ind w:left="720" w:hanging="256"/>
        <w:spacing w:after="0"/>
        <w:tabs>
          <w:tab w:leader="none" w:pos="72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Amendments to Section 6.02 (Liens)</w:t>
      </w:r>
      <w:r>
        <w:rPr>
          <w:rFonts w:ascii="Arial" w:cs="Arial" w:eastAsia="Arial" w:hAnsi="Arial"/>
          <w:sz w:val="16"/>
          <w:szCs w:val="16"/>
          <w:color w:val="auto"/>
        </w:rPr>
        <w:t>. Section 6.02 of the Credit Agreement is hereby amended by inserting the following proviso at the end of clause</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thereto:</w:t>
      </w:r>
    </w:p>
    <w:p>
      <w:pPr>
        <w:spacing w:after="0" w:line="84" w:lineRule="exact"/>
        <w:rPr>
          <w:sz w:val="20"/>
          <w:szCs w:val="20"/>
          <w:color w:val="auto"/>
        </w:rPr>
      </w:pPr>
    </w:p>
    <w:p>
      <w:pPr>
        <w:jc w:val="both"/>
        <w:ind w:left="460" w:right="280" w:firstLine="438"/>
        <w:spacing w:after="0" w:line="29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required by the terms thereof (without any modification in contemplation of this clause 6.02(i)), any Existing 2013 Notes that remain outstanding after a partial refinancing thereof with the proceeds from Indebtedness incurred pursuant to Section 6.01(i) shall be permitted to be secured on an equal and ratable basis by any assets securing such refinancing Indebtedness other than Liens on the Collateral (excluding any Collateral securing the Secured Obligations on a second priority basis as a result of the issuance of the refinancing Indebtedness)”</w:t>
      </w:r>
    </w:p>
    <w:p>
      <w:pPr>
        <w:sectPr>
          <w:pgSz w:w="11900" w:h="16838" w:orient="portrait"/>
          <w:cols w:equalWidth="0" w:num="1">
            <w:col w:w="11420"/>
          </w:cols>
          <w:pgMar w:left="240" w:top="125" w:right="239" w:bottom="1440" w:gutter="0" w:footer="0" w:header="0"/>
        </w:sectPr>
      </w:pPr>
    </w:p>
    <w:bookmarkStart w:id="192" w:name="page193"/>
    <w:bookmarkEnd w:id="192"/>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IV. </w:t>
      </w:r>
      <w:r>
        <w:rPr>
          <w:rFonts w:ascii="Arial" w:cs="Arial" w:eastAsia="Arial" w:hAnsi="Arial"/>
          <w:sz w:val="18"/>
          <w:szCs w:val="18"/>
          <w:u w:val="single" w:color="auto"/>
          <w:color w:val="auto"/>
        </w:rPr>
        <w:t>Amendments to Section 6.11 (Restrictive Agreements)</w:t>
      </w:r>
      <w:r>
        <w:rPr>
          <w:rFonts w:ascii="Arial" w:cs="Arial" w:eastAsia="Arial" w:hAnsi="Arial"/>
          <w:sz w:val="18"/>
          <w:szCs w:val="18"/>
          <w:color w:val="auto"/>
        </w:rPr>
        <w:t>. Section 6.11 of the Credit Agreement is hereby amended by deleting clause (v) thereof in its entirety and inserting in lieu thereof, the following new clause (v):</w:t>
      </w:r>
    </w:p>
    <w:p>
      <w:pPr>
        <w:spacing w:after="0" w:line="51" w:lineRule="exact"/>
        <w:rPr>
          <w:sz w:val="20"/>
          <w:szCs w:val="20"/>
          <w:color w:val="auto"/>
        </w:rPr>
      </w:pPr>
    </w:p>
    <w:p>
      <w:pPr>
        <w:ind w:left="460" w:firstLine="438"/>
        <w:spacing w:after="0" w:line="283" w:lineRule="auto"/>
        <w:rPr>
          <w:sz w:val="20"/>
          <w:szCs w:val="20"/>
          <w:color w:val="auto"/>
        </w:rPr>
      </w:pPr>
      <w:r>
        <w:rPr>
          <w:rFonts w:ascii="Arial" w:cs="Arial" w:eastAsia="Arial" w:hAnsi="Arial"/>
          <w:sz w:val="16"/>
          <w:szCs w:val="16"/>
          <w:color w:val="auto"/>
        </w:rPr>
        <w:t>“(v) the foregoing shall not apply to restrictions or conditions imposed by any agreement relating to secured or unsecured high yield Indebtedness otherwise permitted by this Agreement or otherwise, so long as such restrictions or conditions (x) in the case of clause (a) above, do not impair the rights or benefits of the Administrative Agent, the Collateral Agent, any Issuing Bank or the Lenders with respect to the Collateral (subject to the provisions of any intercreditor arrangements with respect to Collateral which secures the Secured Obligations on a second priority or junior basis) or (y) in the case of clause</w:t>
      </w:r>
    </w:p>
    <w:p>
      <w:pPr>
        <w:spacing w:after="0" w:line="3" w:lineRule="exact"/>
        <w:rPr>
          <w:sz w:val="20"/>
          <w:szCs w:val="20"/>
          <w:color w:val="auto"/>
        </w:rPr>
      </w:pPr>
    </w:p>
    <w:p>
      <w:pPr>
        <w:ind w:left="460" w:right="220" w:firstLine="4"/>
        <w:spacing w:after="0" w:line="295" w:lineRule="auto"/>
        <w:tabs>
          <w:tab w:leader="none" w:pos="70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above with respect to (i) the ability of any Subsidiary to pay dividends or other distributions with respect to any shares of its Equity Interests, consist solely of requirements that such dividends or distributions by a non wholly owned Subsidiary be made on a pro rata basis, and (ii) to the making or repayment of loans or advances or the ability to Guarantee Indebtedness, consist solely of subordination requirements with respect to such intercompany obligations and that such underlying Indebtedness is otherwise permitted,”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u w:val="single" w:color="auto"/>
          <w:color w:val="auto"/>
        </w:rPr>
        <w:t>Amendment to Section 9.23 (Removal of Borrowers; Actions to Release Collateral)</w:t>
      </w:r>
      <w:r>
        <w:rPr>
          <w:rFonts w:ascii="Arial" w:cs="Arial" w:eastAsia="Arial" w:hAnsi="Arial"/>
          <w:sz w:val="16"/>
          <w:szCs w:val="16"/>
          <w:color w:val="auto"/>
        </w:rPr>
        <w:t>. Section 9.23 of the Credit Agreement is hereby amended by:</w:t>
      </w:r>
    </w:p>
    <w:p>
      <w:pPr>
        <w:spacing w:after="0" w:line="113" w:lineRule="exact"/>
        <w:rPr>
          <w:sz w:val="20"/>
          <w:szCs w:val="20"/>
          <w:color w:val="auto"/>
        </w:rPr>
      </w:pPr>
    </w:p>
    <w:p>
      <w:pPr>
        <w:ind w:left="1120" w:hanging="217"/>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replacing the “(d)” with “(e)”;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inserting the following new clause (d):</w:t>
      </w:r>
    </w:p>
    <w:p>
      <w:pPr>
        <w:spacing w:after="0" w:line="90" w:lineRule="exact"/>
        <w:rPr>
          <w:rFonts w:ascii="Arial" w:cs="Arial" w:eastAsia="Arial" w:hAnsi="Arial"/>
          <w:sz w:val="18"/>
          <w:szCs w:val="18"/>
          <w:color w:val="auto"/>
        </w:rPr>
      </w:pPr>
    </w:p>
    <w:p>
      <w:pPr>
        <w:ind w:left="920" w:right="60" w:firstLine="421"/>
        <w:spacing w:after="0" w:line="259" w:lineRule="auto"/>
        <w:tabs>
          <w:tab w:leader="none" w:pos="158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At such time as any Indebtedness incurred pursuant to Section 6.01(i) shall have been repaid in full and the holders thereof shall have released the Liens securing the obligations thereunder in accordance with the terms of such Indebtedness, any Liens created by the Loan Documents as a consequence of the issuance of such Indebtedness shall be automatically released.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VI. </w:t>
      </w:r>
      <w:r>
        <w:rPr>
          <w:rFonts w:ascii="Arial" w:cs="Arial" w:eastAsia="Arial" w:hAnsi="Arial"/>
          <w:sz w:val="16"/>
          <w:szCs w:val="16"/>
          <w:u w:val="single" w:color="auto"/>
          <w:color w:val="auto"/>
        </w:rPr>
        <w:t>Resignation of Citibank, N.A., as an Issuing Bank</w:t>
      </w:r>
      <w:r>
        <w:rPr>
          <w:rFonts w:ascii="Arial" w:cs="Arial" w:eastAsia="Arial" w:hAnsi="Arial"/>
          <w:sz w:val="16"/>
          <w:szCs w:val="16"/>
          <w:color w:val="auto"/>
        </w:rPr>
        <w:t>. Each of the parties hereto agrees that, upon the effectiveness of this Amendment, Citibank, N.A.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cease to be an Issuing Bank under the Credit Agreement and shall have no ongoing obligation to issue Letters of Credit thereunder.</w:t>
      </w:r>
    </w:p>
    <w:p>
      <w:pPr>
        <w:spacing w:after="0" w:line="16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 xml:space="preserve">VII. </w:t>
      </w:r>
      <w:r>
        <w:rPr>
          <w:rFonts w:ascii="Arial" w:cs="Arial" w:eastAsia="Arial" w:hAnsi="Arial"/>
          <w:sz w:val="15"/>
          <w:szCs w:val="15"/>
          <w:u w:val="single" w:color="auto"/>
          <w:color w:val="auto"/>
        </w:rPr>
        <w:t>Release</w:t>
      </w:r>
      <w:r>
        <w:rPr>
          <w:rFonts w:ascii="Arial" w:cs="Arial" w:eastAsia="Arial" w:hAnsi="Arial"/>
          <w:sz w:val="15"/>
          <w:szCs w:val="15"/>
          <w:color w:val="auto"/>
        </w:rPr>
        <w:t>. The Lenders hereby agree that upon the effectiveness of this Amendment, Office Depot Delaware Overseas Finance No. 1, LLC, a Delaware limited liability company, shall be unconditionally released from any and all of its obligations under the Loan Documents and shall cease to be a Loan Party.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This Amendment shall become effective as of the date first written above upon: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receipt by the Administrative Agent of duly executed counterparts to this Amendment from the Borrowers, the Collateral Agents and each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65" w:lineRule="exact"/>
        <w:rPr>
          <w:sz w:val="20"/>
          <w:szCs w:val="20"/>
          <w:color w:val="auto"/>
        </w:rPr>
      </w:pPr>
    </w:p>
    <w:p>
      <w:pPr>
        <w:ind w:left="1180" w:hanging="259"/>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receipt by the Administrative Agent of all fees required to be paid on or before the effective date of the amendment; and</w:t>
      </w:r>
    </w:p>
    <w:p>
      <w:pPr>
        <w:spacing w:after="0" w:line="171" w:lineRule="exact"/>
        <w:rPr>
          <w:rFonts w:ascii="Arial" w:cs="Arial" w:eastAsia="Arial" w:hAnsi="Arial"/>
          <w:sz w:val="18"/>
          <w:szCs w:val="18"/>
          <w:color w:val="auto"/>
        </w:rPr>
      </w:pPr>
    </w:p>
    <w:p>
      <w:pPr>
        <w:ind w:right="80" w:firstLine="921"/>
        <w:spacing w:after="0" w:line="259" w:lineRule="auto"/>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receipt by the Administrative Agent of payment or reimbursement of its reasonable out-of-pocket expenses in connection with this Amendment required to be paid or reimbursed pursuant to the Credit Agreement, including the reasonable fees, charges and disbursements of counsel for the Administrative Agent.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3" w:name="page194"/>
    <w:bookmarkEnd w:id="193"/>
    <w:p>
      <w:pPr>
        <w:ind w:right="34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IX.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Borrowers hereby represent and warrant that (a) each of the representations and warranties in the Credit Agreement shall be, after giving effect to this Amendment, true and correct in all material respects as if made on and as of the Restatement Date (unless such representations and warranties are stated to relate to a specific earlier date, in which case such representations and warranties shall be true and correct in all material respects as of such earlier date) and (b) after giving effect to this Amendment, no Default or Event of Default shall have occurred and be continuing.</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No Other Amendments; Confirmation</w:t>
      </w:r>
      <w:r>
        <w:rPr>
          <w:rFonts w:ascii="Arial" w:cs="Arial" w:eastAsia="Arial" w:hAnsi="Arial"/>
          <w:sz w:val="18"/>
          <w:szCs w:val="18"/>
          <w:color w:val="auto"/>
        </w:rPr>
        <w:t>. Except as expressly amended hereby, the provisions of the Credit Agreement, as amended and restated, are and shall remain in full force and effect.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XI.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hereto shall be governed by, and construed and interpreted in accordance with, the laws of the State of New York.</w:t>
      </w:r>
    </w:p>
    <w:p>
      <w:pPr>
        <w:spacing w:after="0" w:line="13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XII.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This Amendment may be delivered by facsimile transmission of the relevant signature pages hereof.</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4" w:name="page195"/>
    <w:bookmarkEnd w:id="194"/>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caused this Amendment to be executed and delivered by their duly authorized officers as of the date first above written.</w:t>
      </w:r>
    </w:p>
    <w:p>
      <w:pPr>
        <w:spacing w:after="0" w:line="17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INTERNATIONAL (UK) LTD.</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UK LTD.</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INTERNATIONAL B.V.</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B.V.</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 DEPOT FINANCE B.V.</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OD INTERNATIONAL (LUXEMBOURG) FINANCE S.À R.L.</w:t>
      </w: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8130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First Amendment Signature Page</w:t>
      </w:r>
    </w:p>
    <w:p>
      <w:pPr>
        <w:sectPr>
          <w:pgSz w:w="11900" w:h="16838" w:orient="portrait"/>
          <w:cols w:equalWidth="0" w:num="1">
            <w:col w:w="11240"/>
          </w:cols>
          <w:pgMar w:left="240" w:top="280" w:right="419" w:bottom="1440" w:gutter="0" w:footer="0" w:header="0"/>
        </w:sectPr>
      </w:pPr>
    </w:p>
    <w:bookmarkStart w:id="195" w:name="page196"/>
    <w:bookmarkEnd w:id="19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VIKING FINANCE (IRELAND) LTD.</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First Amendment Signature Page</w:t>
      </w:r>
    </w:p>
    <w:p>
      <w:pPr>
        <w:sectPr>
          <w:pgSz w:w="11900" w:h="16838" w:orient="portrait"/>
          <w:cols w:equalWidth="0" w:num="1">
            <w:col w:w="9019"/>
          </w:cols>
          <w:pgMar w:left="1440" w:top="847" w:right="1440" w:bottom="1440" w:gutter="0" w:footer="0" w:header="0"/>
        </w:sectPr>
      </w:pPr>
    </w:p>
    <w:bookmarkStart w:id="196" w:name="page197"/>
    <w:bookmarkEnd w:id="19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Collateral Agent and 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JPMORGAN CHASE BANK, N.A., LONDON BRANCH,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European Collateral 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First Amendment Signature Page</w:t>
      </w:r>
    </w:p>
    <w:p>
      <w:pPr>
        <w:sectPr>
          <w:pgSz w:w="11900" w:h="16838" w:orient="portrait"/>
          <w:cols w:equalWidth="0" w:num="1">
            <w:col w:w="10040"/>
          </w:cols>
          <w:pgMar w:left="1440" w:top="847" w:right="419" w:bottom="1440" w:gutter="0" w:footer="0" w:header="0"/>
        </w:sectPr>
      </w:pPr>
    </w:p>
    <w:bookmarkStart w:id="197" w:name="page198"/>
    <w:bookmarkEnd w:id="19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[INSERT LENDER NAME],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First Amendment Signature Page</w:t>
      </w:r>
    </w:p>
    <w:p>
      <w:pPr>
        <w:sectPr>
          <w:pgSz w:w="11900" w:h="16838" w:orient="portrait"/>
          <w:cols w:equalWidth="0" w:num="1">
            <w:col w:w="9019"/>
          </w:cols>
          <w:pgMar w:left="1440" w:top="847" w:right="1440"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80" w:type="dxa"/>
            <w:vAlign w:val="bottom"/>
          </w:tcPr>
          <w:p>
            <w:pPr>
              <w:ind w:left="1000"/>
              <w:spacing w:after="0"/>
              <w:rPr>
                <w:sz w:val="20"/>
                <w:szCs w:val="20"/>
                <w:color w:val="auto"/>
              </w:rPr>
            </w:pPr>
            <w:r>
              <w:rPr>
                <w:rFonts w:ascii="Arial" w:cs="Arial" w:eastAsia="Arial" w:hAnsi="Arial"/>
                <w:sz w:val="18"/>
                <w:szCs w:val="18"/>
                <w:b w:val="1"/>
                <w:bCs w:val="1"/>
                <w:color w:val="auto"/>
                <w:w w:val="89"/>
              </w:rPr>
              <w:t>Exhibit 21</w:t>
            </w:r>
          </w:p>
        </w:tc>
      </w:tr>
      <w:tr>
        <w:trPr>
          <w:trHeight w:val="378"/>
        </w:trPr>
        <w:tc>
          <w:tcPr>
            <w:tcW w:w="20" w:type="dxa"/>
            <w:vAlign w:val="bottom"/>
          </w:tcPr>
          <w:p>
            <w:pPr>
              <w:spacing w:after="0"/>
              <w:rPr>
                <w:sz w:val="24"/>
                <w:szCs w:val="24"/>
                <w:color w:val="auto"/>
              </w:rPr>
            </w:pPr>
          </w:p>
        </w:tc>
        <w:tc>
          <w:tcPr>
            <w:tcW w:w="9620" w:type="dxa"/>
            <w:vAlign w:val="bottom"/>
            <w:gridSpan w:val="2"/>
          </w:tcPr>
          <w:p>
            <w:pPr>
              <w:ind w:left="3140"/>
              <w:spacing w:after="0"/>
              <w:rPr>
                <w:sz w:val="20"/>
                <w:szCs w:val="20"/>
                <w:color w:val="auto"/>
              </w:rPr>
            </w:pPr>
            <w:r>
              <w:rPr>
                <w:rFonts w:ascii="Arial" w:cs="Arial" w:eastAsia="Arial" w:hAnsi="Arial"/>
                <w:sz w:val="18"/>
                <w:szCs w:val="18"/>
                <w:b w:val="1"/>
                <w:bCs w:val="1"/>
                <w:color w:val="auto"/>
              </w:rPr>
              <w:t>LIST OF OFFICE DEPOT INC.’S SIGNIFICANT SUBSIDIARIES</w:t>
            </w:r>
          </w:p>
        </w:tc>
        <w:tc>
          <w:tcPr>
            <w:tcW w:w="1780" w:type="dxa"/>
            <w:vAlign w:val="bottom"/>
          </w:tcPr>
          <w:p>
            <w:pPr>
              <w:spacing w:after="0"/>
              <w:rPr>
                <w:sz w:val="24"/>
                <w:szCs w:val="24"/>
                <w:color w:val="auto"/>
              </w:rPr>
            </w:pPr>
          </w:p>
        </w:tc>
      </w:tr>
      <w:tr>
        <w:trPr>
          <w:trHeight w:val="373"/>
        </w:trPr>
        <w:tc>
          <w:tcPr>
            <w:tcW w:w="9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195"/>
        </w:trPr>
        <w:tc>
          <w:tcPr>
            <w:tcW w:w="20" w:type="dxa"/>
            <w:vAlign w:val="bottom"/>
          </w:tcPr>
          <w:p>
            <w:pPr>
              <w:spacing w:after="0"/>
              <w:rPr>
                <w:sz w:val="16"/>
                <w:szCs w:val="16"/>
                <w:color w:val="auto"/>
              </w:rPr>
            </w:pPr>
          </w:p>
        </w:tc>
        <w:tc>
          <w:tcPr>
            <w:tcW w:w="8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Office Club, Inc.</w:t>
            </w:r>
          </w:p>
        </w:tc>
        <w:tc>
          <w:tcPr>
            <w:tcW w:w="1020" w:type="dxa"/>
            <w:vAlign w:val="bottom"/>
          </w:tcPr>
          <w:p>
            <w:pPr>
              <w:spacing w:after="0"/>
              <w:rPr>
                <w:sz w:val="16"/>
                <w:szCs w:val="16"/>
                <w:color w:val="auto"/>
              </w:rPr>
            </w:pPr>
          </w:p>
        </w:tc>
        <w:tc>
          <w:tcPr>
            <w:tcW w:w="1780" w:type="dxa"/>
            <w:vAlign w:val="bottom"/>
          </w:tcPr>
          <w:p>
            <w:pPr>
              <w:spacing w:after="0" w:line="195" w:lineRule="exact"/>
              <w:rPr>
                <w:sz w:val="20"/>
                <w:szCs w:val="20"/>
                <w:color w:val="auto"/>
              </w:rPr>
            </w:pPr>
            <w:r>
              <w:rPr>
                <w:rFonts w:ascii="Arial" w:cs="Arial" w:eastAsia="Arial" w:hAnsi="Arial"/>
                <w:sz w:val="18"/>
                <w:szCs w:val="18"/>
                <w:color w:val="auto"/>
              </w:rPr>
              <w:t>California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Viking Office Products, Inc.</w:t>
            </w:r>
          </w:p>
        </w:tc>
        <w:tc>
          <w:tcPr>
            <w:tcW w:w="17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Computers4Sure.com, Inc.</w:t>
            </w:r>
          </w:p>
        </w:tc>
        <w:tc>
          <w:tcPr>
            <w:tcW w:w="1780" w:type="dxa"/>
            <w:vAlign w:val="bottom"/>
          </w:tcPr>
          <w:p>
            <w:pPr>
              <w:spacing w:after="0"/>
              <w:rPr>
                <w:sz w:val="20"/>
                <w:szCs w:val="20"/>
                <w:color w:val="auto"/>
              </w:rPr>
            </w:pPr>
            <w:r>
              <w:rPr>
                <w:rFonts w:ascii="Arial" w:cs="Arial" w:eastAsia="Arial" w:hAnsi="Arial"/>
                <w:sz w:val="18"/>
                <w:szCs w:val="18"/>
                <w:color w:val="auto"/>
              </w:rPr>
              <w:t>Connecticut</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Solutions4Sure.com, Inc.</w:t>
            </w:r>
          </w:p>
        </w:tc>
        <w:tc>
          <w:tcPr>
            <w:tcW w:w="1780" w:type="dxa"/>
            <w:vAlign w:val="bottom"/>
          </w:tcPr>
          <w:p>
            <w:pPr>
              <w:spacing w:after="0"/>
              <w:rPr>
                <w:sz w:val="20"/>
                <w:szCs w:val="20"/>
                <w:color w:val="auto"/>
              </w:rPr>
            </w:pPr>
            <w:r>
              <w:rPr>
                <w:rFonts w:ascii="Arial" w:cs="Arial" w:eastAsia="Arial" w:hAnsi="Arial"/>
                <w:sz w:val="18"/>
                <w:szCs w:val="18"/>
                <w:color w:val="auto"/>
              </w:rPr>
              <w:t>Connecticut</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4Sure.com,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International,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Delaware Overseas Finance No. 1,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Japan Office Supplies,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France,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Swinton Avenue Trading Limited,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Neighborhood Retail Development Fund,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HC Land Company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2300 South Congress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Notus Aviation,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Brazil Holdings,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Medical Solutions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N.A. Shared Services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(Netherlands)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Foreign Holdings GP,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Foreign Holdings LP,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OfficeSupplies.com, Inc.</w:t>
            </w:r>
          </w:p>
        </w:tc>
        <w:tc>
          <w:tcPr>
            <w:tcW w:w="178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North American Card and Coupon Services, LLC</w:t>
            </w:r>
          </w:p>
        </w:tc>
        <w:tc>
          <w:tcPr>
            <w:tcW w:w="178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Viking Direkt GesmbH</w:t>
            </w:r>
          </w:p>
        </w:tc>
        <w:tc>
          <w:tcPr>
            <w:tcW w:w="17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International BVBA</w:t>
            </w:r>
          </w:p>
        </w:tc>
        <w:tc>
          <w:tcPr>
            <w:tcW w:w="178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BVBA</w:t>
            </w:r>
          </w:p>
        </w:tc>
        <w:tc>
          <w:tcPr>
            <w:tcW w:w="178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Overseas Limited</w:t>
            </w:r>
          </w:p>
        </w:tc>
        <w:tc>
          <w:tcPr>
            <w:tcW w:w="178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Overseas 2 Limited</w:t>
            </w:r>
          </w:p>
        </w:tc>
        <w:tc>
          <w:tcPr>
            <w:tcW w:w="178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Overseas Holding Limited</w:t>
            </w:r>
          </w:p>
        </w:tc>
        <w:tc>
          <w:tcPr>
            <w:tcW w:w="178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Brasil Participacoes Limitada</w:t>
            </w:r>
          </w:p>
        </w:tc>
        <w:tc>
          <w:tcPr>
            <w:tcW w:w="17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AsiaEC.com Limited</w:t>
            </w:r>
          </w:p>
        </w:tc>
        <w:tc>
          <w:tcPr>
            <w:tcW w:w="17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The Office Depot Network Technology Ltd.</w:t>
            </w: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Merchandising (Shenzhen) Company Ltd.</w:t>
            </w:r>
          </w:p>
        </w:tc>
        <w:tc>
          <w:tcPr>
            <w:tcW w:w="17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Colombia S.A.S.</w:t>
            </w:r>
          </w:p>
        </w:tc>
        <w:tc>
          <w:tcPr>
            <w:tcW w:w="178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Ofixpres S.A.S.</w:t>
            </w:r>
          </w:p>
        </w:tc>
        <w:tc>
          <w:tcPr>
            <w:tcW w:w="1780" w:type="dxa"/>
            <w:vAlign w:val="bottom"/>
          </w:tcPr>
          <w:p>
            <w:pPr>
              <w:spacing w:after="0"/>
              <w:rPr>
                <w:sz w:val="20"/>
                <w:szCs w:val="20"/>
                <w:color w:val="auto"/>
              </w:rPr>
            </w:pPr>
            <w:r>
              <w:rPr>
                <w:rFonts w:ascii="Arial" w:cs="Arial" w:eastAsia="Arial" w:hAnsi="Arial"/>
                <w:sz w:val="18"/>
                <w:szCs w:val="18"/>
                <w:color w:val="auto"/>
              </w:rPr>
              <w:t>Columbia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Erial BQ S.A.</w:t>
            </w:r>
          </w:p>
        </w:tc>
        <w:tc>
          <w:tcPr>
            <w:tcW w:w="178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Fesa Formas Eficientes S.A.</w:t>
            </w:r>
          </w:p>
        </w:tc>
        <w:tc>
          <w:tcPr>
            <w:tcW w:w="178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OD El Salvador, Ltda. de C.V.</w:t>
            </w:r>
          </w:p>
        </w:tc>
        <w:tc>
          <w:tcPr>
            <w:tcW w:w="1780" w:type="dxa"/>
            <w:vAlign w:val="bottom"/>
          </w:tcPr>
          <w:p>
            <w:pPr>
              <w:spacing w:after="0"/>
              <w:rPr>
                <w:sz w:val="20"/>
                <w:szCs w:val="20"/>
                <w:color w:val="auto"/>
              </w:rPr>
            </w:pPr>
            <w:r>
              <w:rPr>
                <w:rFonts w:ascii="Arial" w:cs="Arial" w:eastAsia="Arial" w:hAnsi="Arial"/>
                <w:sz w:val="18"/>
                <w:szCs w:val="18"/>
                <w:color w:val="auto"/>
              </w:rPr>
              <w:t>El Salvador</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Ofixpres S.A. de C.V.</w:t>
            </w:r>
          </w:p>
        </w:tc>
        <w:tc>
          <w:tcPr>
            <w:tcW w:w="1780" w:type="dxa"/>
            <w:vAlign w:val="bottom"/>
          </w:tcPr>
          <w:p>
            <w:pPr>
              <w:spacing w:after="0"/>
              <w:rPr>
                <w:sz w:val="20"/>
                <w:szCs w:val="20"/>
                <w:color w:val="auto"/>
              </w:rPr>
            </w:pPr>
            <w:r>
              <w:rPr>
                <w:rFonts w:ascii="Arial" w:cs="Arial" w:eastAsia="Arial" w:hAnsi="Arial"/>
                <w:sz w:val="18"/>
                <w:szCs w:val="18"/>
                <w:color w:val="auto"/>
              </w:rPr>
              <w:t>El Salvador</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Cyprus Limited</w:t>
            </w:r>
          </w:p>
        </w:tc>
        <w:tc>
          <w:tcPr>
            <w:tcW w:w="1780" w:type="dxa"/>
            <w:vAlign w:val="bottom"/>
          </w:tcPr>
          <w:p>
            <w:pPr>
              <w:spacing w:after="0"/>
              <w:rPr>
                <w:sz w:val="20"/>
                <w:szCs w:val="20"/>
                <w:color w:val="auto"/>
              </w:rPr>
            </w:pPr>
            <w:r>
              <w:rPr>
                <w:rFonts w:ascii="Arial" w:cs="Arial" w:eastAsia="Arial" w:hAnsi="Arial"/>
                <w:sz w:val="18"/>
                <w:szCs w:val="18"/>
                <w:color w:val="auto"/>
              </w:rPr>
              <w:t>Cyprus</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s.r.o.</w:t>
            </w:r>
          </w:p>
        </w:tc>
        <w:tc>
          <w:tcPr>
            <w:tcW w:w="17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France SNC</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Participations (France) SAS</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Europa S.A.S.</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BS</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(Holding) France</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640" w:type="dxa"/>
            <w:vAlign w:val="bottom"/>
            <w:gridSpan w:val="3"/>
          </w:tcPr>
          <w:p>
            <w:pPr>
              <w:spacing w:after="0"/>
              <w:rPr>
                <w:sz w:val="20"/>
                <w:szCs w:val="20"/>
                <w:color w:val="auto"/>
              </w:rPr>
            </w:pPr>
            <w:r>
              <w:rPr>
                <w:rFonts w:ascii="Arial" w:cs="Arial" w:eastAsia="Arial" w:hAnsi="Arial"/>
                <w:sz w:val="18"/>
                <w:szCs w:val="18"/>
                <w:color w:val="auto"/>
              </w:rPr>
              <w:t>Monster Ink France SNC</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r>
      <w:tr>
        <w:trPr>
          <w:trHeight w:val="222"/>
        </w:trPr>
        <w:tc>
          <w:tcPr>
            <w:tcW w:w="9640" w:type="dxa"/>
            <w:vAlign w:val="bottom"/>
            <w:gridSpan w:val="3"/>
          </w:tcPr>
          <w:p>
            <w:pPr>
              <w:spacing w:after="0"/>
              <w:rPr>
                <w:sz w:val="20"/>
                <w:szCs w:val="20"/>
                <w:color w:val="auto"/>
              </w:rPr>
            </w:pPr>
            <w:r>
              <w:rPr>
                <w:rFonts w:ascii="Arial" w:cs="Arial" w:eastAsia="Arial" w:hAnsi="Arial"/>
                <w:sz w:val="18"/>
                <w:szCs w:val="18"/>
                <w:color w:val="auto"/>
              </w:rPr>
              <w:t>Office Depot Deutschland GmbH</w:t>
            </w:r>
          </w:p>
        </w:tc>
        <w:tc>
          <w:tcPr>
            <w:tcW w:w="1780" w:type="dxa"/>
            <w:vAlign w:val="bottom"/>
          </w:tcPr>
          <w:p>
            <w:pPr>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420"/>
          </w:cols>
          <w:pgMar w:left="240" w:top="125"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Guilbert Beteiligungsholding GmbH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Hutter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NEWGOH Immobilienverwaltung GmbH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Depot Service – und BeteiligungsGmbH&amp;Co.KG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OD Guatemala y Companía. Limitada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 Honduras S de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Asia Holding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Supply Solutions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Hungary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Papirius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Danube Kft.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Depot Reliance Supply Solutions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Depot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Direct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Finance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Office Products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VPC System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Office Products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Korea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Guilbert Luxembourg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 International (Luxembourg) Finance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de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Centro de Apoyo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ODG Caribe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Administrativos Office Depot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Germany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Korea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ectPr>
          <w:pgSz w:w="11900" w:h="16838" w:orient="portrait"/>
          <w:cols w:equalWidth="0" w:num="2">
            <w:col w:w="9520" w:space="720"/>
            <w:col w:w="118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SA de CV</w:t>
      </w:r>
    </w:p>
    <w:p>
      <w:pPr>
        <w:sectPr>
          <w:pgSz w:w="11900" w:h="16838" w:orient="portrait"/>
          <w:cols w:equalWidth="0" w:num="1">
            <w:col w:w="11420"/>
          </w:cols>
          <w:pgMar w:left="240" w:top="280"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Centro de Apoyo Caribe SA de CV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Formas Eficientes,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Papelera General,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 International Holdings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Viking Direct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Depot Latin American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Depot Finance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Netherland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Heteyo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 Viking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Guilbert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(Operations)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Coöperatief 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Xtreme Office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Poland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Service Center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s.r.o.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Slovak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ectPr>
          <w:pgSz w:w="11900" w:h="16838" w:orient="portrait"/>
          <w:cols w:equalWidth="0" w:num="2">
            <w:col w:w="9520" w:space="720"/>
            <w:col w:w="1180"/>
          </w:cols>
          <w:pgMar w:left="240" w:top="280" w:right="2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Depot S.L.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Dépôt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Sweden (Holding)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Frans Svanstrom &amp; Co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Killbergs Kontorsvaruhus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Wettergrens i Goteborg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Wettergrens Kontorscenter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Depot International (UK)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Viking Direct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Guilbert UK Pension Trustees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Guilbert UK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Niceday Distribution Centre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(1995)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Reliable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Holdings 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Europe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Depot Holdings 3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Spain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67" w:lineRule="exact"/>
        <w:rPr>
          <w:sz w:val="20"/>
          <w:szCs w:val="20"/>
          <w:color w:val="auto"/>
        </w:rPr>
      </w:pPr>
    </w:p>
    <w:p>
      <w:pPr>
        <w:sectPr>
          <w:pgSz w:w="11900" w:h="16838" w:orient="portrait"/>
          <w:cols w:equalWidth="0" w:num="2">
            <w:col w:w="9100" w:space="720"/>
            <w:col w:w="1180"/>
          </w:cols>
          <w:pgMar w:left="240" w:top="280" w:right="659" w:bottom="1440" w:gutter="0" w:footer="0" w:header="0"/>
        </w:sectPr>
      </w:pPr>
    </w:p>
    <w:p>
      <w:pPr>
        <w:spacing w:after="0"/>
        <w:rPr>
          <w:sz w:val="20"/>
          <w:szCs w:val="20"/>
          <w:color w:val="auto"/>
        </w:rPr>
      </w:pPr>
      <w:r>
        <w:rPr>
          <w:rFonts w:ascii="Arial" w:cs="Arial" w:eastAsia="Arial" w:hAnsi="Arial"/>
          <w:sz w:val="15"/>
          <w:szCs w:val="15"/>
          <w:b w:val="1"/>
          <w:bCs w:val="1"/>
          <w:color w:val="auto"/>
        </w:rPr>
        <w:t>*  Ownership may consist of one subsidiary or any combination of subsidiaries, which may include Office Depot, Inc.</w:t>
      </w:r>
    </w:p>
    <w:p>
      <w:pPr>
        <w:sectPr>
          <w:pgSz w:w="11900" w:h="16838" w:orient="portrait"/>
          <w:cols w:equalWidth="0" w:num="1">
            <w:col w:w="11000"/>
          </w:cols>
          <w:pgMar w:left="240" w:top="280" w:right="659" w:bottom="1440" w:gutter="0" w:footer="0" w:header="0"/>
          <w:type w:val="continuous"/>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Registration Statements No. 333-45591, No. 333-59603, No. 333-63507, No. 333-68081, No. 333-69831, No. 333-41060, No. 333-80123, No. 333-90305, No. 333-123527, No. 333-144936, and No. 333-177496 on Form S-8 of our report relating to the financial statements and financial statement schedule of Office Depot, Inc., and the effectiveness of Office Depot, Inc.'s internal control over financial reporting, appearing in this Annual Report on Form 10-K of Office Depot, Inc. for the fiscal year ended December 31,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2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consent to the incorporation by reference in Registration Statements No. 333-45591, No. 333-59603, No. 333-63507, No. 333-68081, No. 333-69831, No. 333-41060, No. 333-80123, No. 333-90305, No. 333-123527, No. 333-144936, and No. 333-177496 on Form S-8 of our report dated February 15, 2012 relating to the consolidated financial statements of Office Depot de México, S.A. de C.V. (which report expresses an unqualified opinion and includes an explanatory paragraph regarding the fact that Mexican Financial Reporting Standards vary from accounting principles generally accepted in the United States of America, the nature and effects of which are presented in Note 17 in such consolidated financial statements), appearing in the Annual Report on Form 10-K of Office Depot, Inc. for the year ended December 31,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Juan Antonio Rodriguez Espínola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2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Neil R. Austrian, certify that:</w:t>
      </w:r>
    </w:p>
    <w:p>
      <w:pPr>
        <w:spacing w:after="0" w:line="212"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Office Depot, Inc.;</w:t>
      </w:r>
    </w:p>
    <w:p>
      <w:pPr>
        <w:spacing w:after="0" w:line="211" w:lineRule="exact"/>
        <w:rPr>
          <w:rFonts w:ascii="Arial" w:cs="Arial" w:eastAsia="Arial" w:hAnsi="Arial"/>
          <w:sz w:val="18"/>
          <w:szCs w:val="18"/>
          <w:color w:val="auto"/>
        </w:rPr>
      </w:pPr>
    </w:p>
    <w:p>
      <w:pPr>
        <w:ind w:left="220" w:hanging="212"/>
        <w:spacing w:after="0" w:line="332" w:lineRule="auto"/>
        <w:tabs>
          <w:tab w:leader="none" w:pos="2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left="220" w:hanging="212"/>
        <w:spacing w:after="0" w:line="268"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jc w:val="both"/>
        <w:ind w:left="220" w:hanging="212"/>
        <w:spacing w:after="0" w:line="259"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240" w:hanging="4"/>
        <w:spacing w:after="0" w:line="259" w:lineRule="auto"/>
        <w:tabs>
          <w:tab w:leader="none" w:pos="43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240" w:hanging="4"/>
        <w:spacing w:after="0" w:line="259" w:lineRule="auto"/>
        <w:tabs>
          <w:tab w:leader="none" w:pos="44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240" w:right="20" w:hanging="4"/>
        <w:spacing w:after="0" w:line="268" w:lineRule="auto"/>
        <w:tabs>
          <w:tab w:leader="none" w:pos="42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jc w:val="both"/>
        <w:ind w:left="240" w:hanging="4"/>
        <w:spacing w:after="0" w:line="259" w:lineRule="auto"/>
        <w:tabs>
          <w:tab w:leader="none" w:pos="4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240" w:right="20" w:hanging="4"/>
        <w:spacing w:after="0" w:line="268" w:lineRule="auto"/>
        <w:tabs>
          <w:tab w:leader="none" w:pos="43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240" w:hanging="4"/>
        <w:spacing w:after="0" w:line="268" w:lineRule="auto"/>
        <w:tabs>
          <w:tab w:leader="none" w:pos="45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NEIL R. AUSTRIAN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Neil R. Austrian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D. Newman, certify that:</w:t>
      </w:r>
    </w:p>
    <w:p>
      <w:pPr>
        <w:spacing w:after="0" w:line="212" w:lineRule="exact"/>
        <w:rPr>
          <w:sz w:val="20"/>
          <w:szCs w:val="20"/>
          <w:color w:val="auto"/>
        </w:rPr>
      </w:pPr>
    </w:p>
    <w:p>
      <w:pPr>
        <w:ind w:left="220" w:hanging="212"/>
        <w:spacing w:after="0"/>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Office Depot, Inc.;</w:t>
      </w:r>
    </w:p>
    <w:p>
      <w:pPr>
        <w:spacing w:after="0" w:line="211" w:lineRule="exact"/>
        <w:rPr>
          <w:rFonts w:ascii="Arial" w:cs="Arial" w:eastAsia="Arial" w:hAnsi="Arial"/>
          <w:sz w:val="18"/>
          <w:szCs w:val="18"/>
          <w:color w:val="auto"/>
        </w:rPr>
      </w:pPr>
    </w:p>
    <w:p>
      <w:pPr>
        <w:ind w:left="220" w:hanging="212"/>
        <w:spacing w:after="0" w:line="332" w:lineRule="auto"/>
        <w:tabs>
          <w:tab w:leader="none" w:pos="2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left="220" w:hanging="212"/>
        <w:spacing w:after="0" w:line="268"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jc w:val="both"/>
        <w:ind w:left="220" w:hanging="212"/>
        <w:spacing w:after="0" w:line="259"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240" w:hanging="4"/>
        <w:spacing w:after="0" w:line="259" w:lineRule="auto"/>
        <w:tabs>
          <w:tab w:leader="none" w:pos="43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240" w:hanging="4"/>
        <w:spacing w:after="0" w:line="259" w:lineRule="auto"/>
        <w:tabs>
          <w:tab w:leader="none" w:pos="44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240" w:right="20" w:hanging="4"/>
        <w:spacing w:after="0" w:line="268" w:lineRule="auto"/>
        <w:tabs>
          <w:tab w:leader="none" w:pos="42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jc w:val="both"/>
        <w:ind w:left="240" w:hanging="4"/>
        <w:spacing w:after="0" w:line="259" w:lineRule="auto"/>
        <w:tabs>
          <w:tab w:leader="none" w:pos="4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240" w:right="20" w:hanging="4"/>
        <w:spacing w:after="0" w:line="268" w:lineRule="auto"/>
        <w:tabs>
          <w:tab w:leader="none" w:pos="43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240" w:hanging="4"/>
        <w:spacing w:after="0" w:line="268" w:lineRule="auto"/>
        <w:tabs>
          <w:tab w:leader="none" w:pos="45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D.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Depot, Inc.</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Office Depot, Inc. (the “Company”) for the fiscal year ended December 31, 2011 as filed with the Securities and Exchange Commission on the date hereof (the “Report”), Neil R. Austrian, as Chief Executive Officer of the Company, and Michael D. Newman, as Chief Financial Officer of the Company, each hereby certifies, pursuant to 18 U.S.C. § 1350, as adopted pursuant to § 906 of the Sarbanes-Oxley Act of 2002, that, to each officer’s knowledge:</w:t>
      </w:r>
    </w:p>
    <w:p>
      <w:pPr>
        <w:spacing w:after="0" w:line="143" w:lineRule="exact"/>
        <w:rPr>
          <w:sz w:val="20"/>
          <w:szCs w:val="20"/>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NEIL R. AUSTRIAN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Neil R. Austrian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D. NEWMAN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Michael D.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signed original of this written statement required by Section 1350 of Title 18 of the United States Code has been provided to the Company and will be retained by the Company and furnished to the Securities and Exchange Commission or its staff upon request.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ectPr>
          <w:pgSz w:w="11900" w:h="16838" w:orient="portrait"/>
          <w:cols w:equalWidth="0" w:num="1">
            <w:col w:w="11420"/>
          </w:cols>
          <w:pgMar w:left="240" w:top="1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99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 B. de C. V. and 50% Owned Affiliate of Office Depot Delaware Overseas Finance 1, LLC)</w:t>
      </w:r>
    </w:p>
    <w:p>
      <w:pPr>
        <w:spacing w:after="0" w:line="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Consolidated Financial Statements for the Years Ended December 31, 2011, 2010 (Unaudited) and 2009 (Unaudited) and Independent Auditors’ Report Dated February 15,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125"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50% Owned Affiliate of Office Depot Delaware Overseas Finance 1, LLC)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 and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for 2011, 2010 (Unaudited)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20"/>
                <w:szCs w:val="20"/>
                <w:color w:val="auto"/>
              </w:rPr>
            </w:pPr>
            <w:r>
              <w:rPr>
                <w:rFonts w:ascii="Arial" w:cs="Arial" w:eastAsia="Arial" w:hAnsi="Arial"/>
                <w:sz w:val="14"/>
                <w:szCs w:val="14"/>
                <w:b w:val="1"/>
                <w:bCs w:val="1"/>
                <w:color w:val="auto"/>
              </w:rPr>
              <w:t>Table of contents</w:t>
            </w:r>
          </w:p>
        </w:tc>
        <w:tc>
          <w:tcPr>
            <w:tcW w:w="3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76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3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6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76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76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6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6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6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20"/>
          </w:cols>
          <w:pgMar w:left="240" w:top="274"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 to the Board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Directors and Stockholders of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Depot de México, S. A. de C. V.</w:t>
      </w:r>
    </w:p>
    <w:p>
      <w:pPr>
        <w:spacing w:after="0" w:line="16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have audited the accompanying consolidated balance sheet of Office Depot de México, S. A. de C. V. and subsidiaries (the “Company”) as of December 31, 2011, and the related consolidated statements of income,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financial reporting standards used and significant estimates made by management, as well as evaluating the overall financial statement presentation. We believe that our audit provides a reasonable basis for our opinion.</w:t>
      </w:r>
    </w:p>
    <w:p>
      <w:pPr>
        <w:spacing w:after="0" w:line="14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In our opinion, such consolidated financial statements present fairly, in all material respects, the financial position of Office Depot de México, S. A. de C. V. and subsidiaries as of December 31, 2011, and the result of their operations, changes in their stockholders’ equity, and their cash flows for the year then ended in conformity with Mexican Financial Reporting Standards (“MFRS”, individually referred to as </w:t>
      </w:r>
      <w:r>
        <w:rPr>
          <w:rFonts w:ascii="Arial" w:cs="Arial" w:eastAsia="Arial" w:hAnsi="Arial"/>
          <w:sz w:val="16"/>
          <w:szCs w:val="16"/>
          <w:i w:val="1"/>
          <w:iCs w:val="1"/>
          <w:color w:val="auto"/>
        </w:rPr>
        <w:t>Normas de Información Financiera</w:t>
      </w:r>
      <w:r>
        <w:rPr>
          <w:rFonts w:ascii="Arial" w:cs="Arial" w:eastAsia="Arial" w:hAnsi="Arial"/>
          <w:sz w:val="16"/>
          <w:szCs w:val="16"/>
          <w:color w:val="auto"/>
        </w:rPr>
        <w:t xml:space="preserve"> or “NIFs”).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MFRS vary in certain significant respects from accounting principles generally accepted in the United States of America (“U.S. GAAP”). Information relating to the nature and effect of such differences is presented in Note 17 to the accompanying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consolidated financial statements have been translated into English for the convenience of readers.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 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Juan Antonio Rodríguez Espínola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ectPr>
          <w:pgSz w:w="11900" w:h="16838" w:orient="portrait"/>
          <w:cols w:equalWidth="0" w:num="1">
            <w:col w:w="11320"/>
          </w:cols>
          <w:pgMar w:left="240" w:top="274"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50% Owned Affiliate of Office Depot Delaware Overseas Finance 1,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2011 and 2010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Mexican pesos)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302,656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Accounts receivable and recoverable taxes – Net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862,920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Inventories – Net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2,933,151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2,729,063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4,204,802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4,056,708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leasehold improvements – Net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4,133,426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3,854,007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statutory employee profit sharing</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Intangible assets – Net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8,528,047</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8,098,720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2,191,010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2,104,699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w w:val="95"/>
              </w:rPr>
              <w:t>Inmobiliaria Lomo Lomas Verdes, S. A. de C. V. – Related party</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2,661,835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2,518,447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color w:val="auto"/>
              </w:rPr>
              <w:t>Employee retirement obligations</w:t>
            </w:r>
          </w:p>
        </w:tc>
        <w:tc>
          <w:tcPr>
            <w:tcW w:w="4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2,702,610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1,266,239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1,266,239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4,385,233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4,256,971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5,825,437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5,546,276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8,528,047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8,098,720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32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100" w:type="dxa"/>
            <w:vAlign w:val="bottom"/>
          </w:tcPr>
          <w:p>
            <w:pPr>
              <w:jc w:val="right"/>
              <w:ind w:right="35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a 50% Owned Affiliate of Office Depot Delaware Overseas Finance 1,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2011, 2010 (Unaudited) and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Mexican pesos)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14,051,901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12,157,735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14,127,236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12,238,232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11,215,787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9,920,524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8,618,962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7,894,448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administrative and general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2,907,287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2,401,564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2,120,258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12,827,811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11,020,526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10,014,706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Net comprehensive financing cost: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commissions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(172,290)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(155,184)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(21,580)</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Exchange (loss) gain</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financial income –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Monetary position gain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(98,813)</w:t>
            </w:r>
          </w:p>
        </w:tc>
        <w:tc>
          <w:tcPr>
            <w:tcW w:w="0" w:type="dxa"/>
            <w:vAlign w:val="bottom"/>
          </w:tcPr>
          <w:p>
            <w:pPr>
              <w:spacing w:after="0"/>
              <w:rPr>
                <w:sz w:val="1"/>
                <w:szCs w:val="1"/>
                <w:color w:val="auto"/>
              </w:rPr>
            </w:pPr>
          </w:p>
        </w:tc>
      </w:tr>
      <w:tr>
        <w:trPr>
          <w:trHeight w:val="329"/>
        </w:trPr>
        <w:tc>
          <w:tcPr>
            <w:tcW w:w="7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1,125,198</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1,131,147</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1,097,574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396,936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354,031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728,262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777,116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786,024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a 50% Owned Affiliate of Office Depot Delaware Overseas Finance 1,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2011, 2010 (Unaudited) and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Mexican pesos)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Total 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2009 (Unaudited)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$1,266,239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$3,093,831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Dividends paid ($7.207 pesos per share) (Unaudited)</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786,024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752,291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Balances as of December 31, 2009 (Unaudited)</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1,266,239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3,479,855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4,787,494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758,782</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Balances as of December 31, 2010 (Unaudited)</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1,266,239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4,256,971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5,546,276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($10.81 pesos per share)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728,262</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1,266,239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4,385,233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173,965</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a 50% Owned Affiliate of Office Depot Delaware Overseas Finance 1,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2011, 2010 (Unaudited) and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Mexican pesos)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(Unaudited)</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1,125,198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1,131,147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Items related to investing activities: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302,872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262,653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of fixed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(10,486)</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(12,391)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Items related to financing activities: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1,437,309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1,403,613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1,367,000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and recoverable taxes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(51,571)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Other accounts receivable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to/from related parties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(204,088)</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(495,636)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Trade accounts payable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208,820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(88,054)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(143,557)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paid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(251,339)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(218,166)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(364,242)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(20,136)</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(17,468)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893,104</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590,575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equipment and investments in leasehold improvements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(529,491)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(321,450)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Acquisition of subsidiaries, net of cash acquired</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(178,353)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trademark</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received</w:t>
            </w:r>
          </w:p>
        </w:tc>
        <w:tc>
          <w:tcPr>
            <w:tcW w:w="1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(512,684)</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(495,322)</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(409,906)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Borrowings from related party</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Banks borrowings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Repayments to related party</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(400,000)</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bank borrowings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(21,580)</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(6,684)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(600,000)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(621,580)</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(6,684)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(417,870)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 increase in cash and cash equivalents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(241,160)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Effects of inflation on cash flows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exchange rate changes on cash flows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Cash and cash equivalents at beginning of year</w:t>
            </w:r>
          </w:p>
        </w:tc>
        <w:tc>
          <w:tcPr>
            <w:tcW w:w="1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392,917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322,218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at end of year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392,917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Depot de México, S. A. de C. 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50% Owned Subsidiary of Grupo Gigante, S. A. B. de C.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a 50% Owned Affiliate of Office Depot Delaware Overseas Finance 1,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2011 and 2010 (Unaudited) and for the years ended December 31, 2011, 2010 (Unaudited) and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Mexican pesos, unless stated otherwise)</w:t>
      </w:r>
    </w:p>
    <w:p>
      <w:pPr>
        <w:spacing w:after="0" w:line="78"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96" w:lineRule="exact"/>
        <w:rPr>
          <w:rFonts w:ascii="Arial" w:cs="Arial" w:eastAsia="Arial" w:hAnsi="Arial"/>
          <w:sz w:val="18"/>
          <w:szCs w:val="18"/>
          <w:b w:val="1"/>
          <w:bCs w:val="1"/>
          <w:color w:val="auto"/>
        </w:rPr>
      </w:pPr>
    </w:p>
    <w:p>
      <w:pPr>
        <w:ind w:left="460"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Office Depot de México, S. A. de C. V. (“ODM”, a 50% owned subsidiary of Grupo Gigante, S. A. B. de C. V. and 50% owned affiliate of Office Depot Delaware Overseas Finance 1, LLC) and subsidiaries (collectively, the “Company”) is a chain of 201 stores in Mexico, five in Costa Rica, six in Guatemala, three in El Salvador, two in Honduras, three in Panama, 12 in Colombia, nine distribution centers, a cross dock in Mexico that sell office supplies and electronic goods, and a printing service specializing in the retail and catalogue business for office supplies.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rFonts w:ascii="Arial" w:cs="Arial" w:eastAsia="Arial" w:hAnsi="Arial"/>
          <w:sz w:val="18"/>
          <w:szCs w:val="18"/>
          <w:b w:val="1"/>
          <w:bCs w:val="1"/>
          <w:color w:val="auto"/>
        </w:rPr>
      </w:pPr>
    </w:p>
    <w:p>
      <w:pPr>
        <w:ind w:left="900" w:right="300" w:hanging="446"/>
        <w:spacing w:after="0" w:line="268"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Comparability</w:t>
      </w:r>
      <w:r>
        <w:rPr>
          <w:rFonts w:ascii="Arial" w:cs="Arial" w:eastAsia="Arial" w:hAnsi="Arial"/>
          <w:sz w:val="18"/>
          <w:szCs w:val="18"/>
          <w:color w:val="auto"/>
        </w:rPr>
        <w:t>—The most significant events and transactions affecting comparability of the accompanying consolidated financial statements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below:</w:t>
      </w:r>
    </w:p>
    <w:p>
      <w:pPr>
        <w:spacing w:after="0" w:line="132"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b w:val="1"/>
          <w:bCs w:val="1"/>
          <w:i w:val="1"/>
          <w:iCs w:val="1"/>
          <w:color w:val="auto"/>
        </w:rPr>
        <w:t xml:space="preserve">Acquisition of subsidiaries: </w:t>
      </w:r>
      <w:r>
        <w:rPr>
          <w:rFonts w:ascii="Arial" w:cs="Arial" w:eastAsia="Arial" w:hAnsi="Arial"/>
          <w:sz w:val="16"/>
          <w:szCs w:val="16"/>
          <w:color w:val="auto"/>
        </w:rPr>
        <w:t>On September 30, 2010, ODM acquired, directly and indirectly through its subsidiaries, 100% of the voting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of the companies Formas Eficientes, S. A. de C. V. and Papelera General, S. A. de C. V. in Mexico, Ofixpres, S. A. S. in Colombia, Ofixpres, S. A. de C. V. in El Salvador; and FESA Formas Eficientes, S. A. in Costa Rica. The primary activities of these companies include the distribution and handling of inventories as well as fabrication of printed forms. The activities of the acquired companies are aligned with the business strategy of ODM to increase sales and augment presence in Latin America</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results of operations of the entities were included in the Company’s consolidated financial statements beginning October 1, 2010.</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Consideration paid, in cash, totaled U.S.$15,408 million, equivalent to $192,293.</w:t>
      </w:r>
    </w:p>
    <w:p>
      <w:pPr>
        <w:spacing w:after="0" w:line="171"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As of December 31, 2010, the allocation of the consideration paid to the assets acquired and the liabilities assumed was provisional as the Company was in the process of identifying certain intangibles and obtaining fair values for the assets acquired and liabilities assumed. This process was concluded in May 2011. The final allocation of the consideration paid to the acquired assets and assumed liabilities as of the date of acquisition, is presented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80" w:type="dxa"/>
            <w:vAlign w:val="bottom"/>
            <w:gridSpan w:val="4"/>
          </w:tcPr>
          <w:p>
            <w:pPr>
              <w:ind w:left="3640"/>
              <w:spacing w:after="0"/>
              <w:rPr>
                <w:sz w:val="20"/>
                <w:szCs w:val="20"/>
                <w:color w:val="auto"/>
              </w:rPr>
            </w:pPr>
            <w:r>
              <w:rPr>
                <w:rFonts w:ascii="Arial" w:cs="Arial" w:eastAsia="Arial" w:hAnsi="Arial"/>
                <w:sz w:val="14"/>
                <w:szCs w:val="14"/>
                <w:b w:val="1"/>
                <w:bCs w:val="1"/>
                <w:color w:val="auto"/>
                <w:w w:val="93"/>
              </w:rPr>
              <w:t>September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6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Fixed assets</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assets</w:t>
            </w:r>
          </w:p>
        </w:tc>
        <w:tc>
          <w:tcPr>
            <w:tcW w:w="3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3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(461,679)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286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(466,224)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6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40" w:type="dxa"/>
            <w:vAlign w:val="bottom"/>
            <w:vMerge w:val="restart"/>
          </w:tcPr>
          <w:p>
            <w:pPr>
              <w:jc w:val="right"/>
              <w:ind w:right="2517"/>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14" w:name="page215"/>
    <w:bookmarkEnd w:id="214"/>
    <w:p>
      <w:pPr>
        <w:ind w:left="92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part of the allocation of the consideration paid for the acquisition, the Company identified an intangible asset, consisting of a customer list, at a value of $92,912. The Company determined the useful life of such list to be five years (see Note 8).</w:t>
      </w:r>
    </w:p>
    <w:p>
      <w:pPr>
        <w:spacing w:after="0" w:line="132"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Additionally, in September 2010, an indirect subsidiary of the Company, located in Colombia, acquired the Ofixpres trademark for U.S.$1 million, equivalent to $11,679, paid in cash. This intangible asset has an indefinite useful life and each year is subject to impairment testing (see Note 8).</w:t>
      </w:r>
    </w:p>
    <w:p>
      <w:pPr>
        <w:spacing w:after="0" w:line="4" w:lineRule="exact"/>
        <w:rPr>
          <w:sz w:val="20"/>
          <w:szCs w:val="20"/>
          <w:color w:val="auto"/>
        </w:rPr>
      </w:pPr>
    </w:p>
    <w:p>
      <w:pPr>
        <w:ind w:left="900" w:right="100" w:hanging="446"/>
        <w:spacing w:after="0" w:line="298"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Explanation for translation into English</w:t>
      </w:r>
      <w:r>
        <w:rPr>
          <w:rFonts w:ascii="Arial" w:cs="Arial" w:eastAsia="Arial" w:hAnsi="Arial"/>
          <w:sz w:val="16"/>
          <w:szCs w:val="16"/>
          <w:color w:val="auto"/>
        </w:rPr>
        <w:t>—The accompanying consolidated financial statements have been translated from Spanish into English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outside of Mexico. These consolidated financial statements are presented on the basis of Mexican Financial Reporting Standards (“MFRS”), individually referred to as Normas de Información Financiera or “NIFs”). Certain accounting practices applied by the Company that conform with MFRS may not conform with accounting principles generally accepted in the country of use.</w:t>
      </w:r>
    </w:p>
    <w:p>
      <w:pPr>
        <w:spacing w:after="0" w:line="31" w:lineRule="exact"/>
        <w:rPr>
          <w:rFonts w:ascii="Arial" w:cs="Arial" w:eastAsia="Arial" w:hAnsi="Arial"/>
          <w:sz w:val="16"/>
          <w:szCs w:val="16"/>
          <w:color w:val="auto"/>
        </w:rPr>
      </w:pPr>
    </w:p>
    <w:p>
      <w:pPr>
        <w:ind w:left="900" w:right="280" w:hanging="446"/>
        <w:spacing w:after="0" w:line="357" w:lineRule="auto"/>
        <w:tabs>
          <w:tab w:leader="none" w:pos="900" w:val="left"/>
        </w:tabs>
        <w:numPr>
          <w:ilvl w:val="0"/>
          <w:numId w:val="128"/>
        </w:numPr>
        <w:rPr>
          <w:rFonts w:ascii="Arial" w:cs="Arial" w:eastAsia="Arial" w:hAnsi="Arial"/>
          <w:sz w:val="15"/>
          <w:szCs w:val="15"/>
          <w:color w:val="auto"/>
        </w:rPr>
      </w:pPr>
      <w:r>
        <w:rPr>
          <w:rFonts w:ascii="Arial" w:cs="Arial" w:eastAsia="Arial" w:hAnsi="Arial"/>
          <w:sz w:val="15"/>
          <w:szCs w:val="15"/>
          <w:b w:val="1"/>
          <w:bCs w:val="1"/>
          <w:i w:val="1"/>
          <w:iCs w:val="1"/>
          <w:color w:val="auto"/>
        </w:rPr>
        <w:t>Monetary unit of the financial statements</w:t>
      </w:r>
      <w:r>
        <w:rPr>
          <w:rFonts w:ascii="Arial" w:cs="Arial" w:eastAsia="Arial" w:hAnsi="Arial"/>
          <w:sz w:val="15"/>
          <w:szCs w:val="15"/>
          <w:color w:val="auto"/>
        </w:rPr>
        <w:t>—The consolidated financial statements and notes as of December 31, 2011 and 2010 and for the years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2011, 2010 and 2009 include balances and transactions denominated in Mexican pesos of different purchasing power.</w:t>
      </w:r>
    </w:p>
    <w:p>
      <w:pPr>
        <w:ind w:left="900" w:right="120" w:hanging="446"/>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of financial statements</w:t>
      </w:r>
      <w:r>
        <w:rPr>
          <w:rFonts w:ascii="Arial" w:cs="Arial" w:eastAsia="Arial" w:hAnsi="Arial"/>
          <w:sz w:val="18"/>
          <w:szCs w:val="18"/>
          <w:i w:val="1"/>
          <w:iCs w:val="1"/>
          <w:color w:val="auto"/>
        </w:rPr>
        <w:t>—</w:t>
      </w:r>
      <w:r>
        <w:rPr>
          <w:rFonts w:ascii="Arial" w:cs="Arial" w:eastAsia="Arial" w:hAnsi="Arial"/>
          <w:sz w:val="18"/>
          <w:szCs w:val="18"/>
          <w:color w:val="auto"/>
        </w:rPr>
        <w:t>The consolidated financial statements include the financial statements of ODM and those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which it exercises control. ODM’s shareholding percentage in their capital stock is shown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ind w:left="1720"/>
              <w:spacing w:after="0"/>
              <w:rPr>
                <w:sz w:val="20"/>
                <w:szCs w:val="20"/>
                <w:color w:val="auto"/>
              </w:rPr>
            </w:pPr>
            <w:r>
              <w:rPr>
                <w:rFonts w:ascii="Arial" w:cs="Arial" w:eastAsia="Arial" w:hAnsi="Arial"/>
                <w:sz w:val="14"/>
                <w:szCs w:val="14"/>
                <w:b w:val="1"/>
                <w:bCs w:val="1"/>
                <w:color w:val="auto"/>
              </w:rPr>
              <w:t>Company</w:t>
            </w:r>
          </w:p>
        </w:tc>
        <w:tc>
          <w:tcPr>
            <w:tcW w:w="2460" w:type="dxa"/>
            <w:vAlign w:val="bottom"/>
          </w:tcPr>
          <w:p>
            <w:pPr>
              <w:jc w:val="right"/>
              <w:ind w:right="894"/>
              <w:spacing w:after="0"/>
              <w:rPr>
                <w:sz w:val="20"/>
                <w:szCs w:val="20"/>
                <w:color w:val="auto"/>
              </w:rPr>
            </w:pPr>
            <w:r>
              <w:rPr>
                <w:rFonts w:ascii="Arial" w:cs="Arial" w:eastAsia="Arial" w:hAnsi="Arial"/>
                <w:sz w:val="14"/>
                <w:szCs w:val="14"/>
                <w:b w:val="1"/>
                <w:bCs w:val="1"/>
                <w:color w:val="auto"/>
              </w:rPr>
              <w:t>Equity</w:t>
            </w:r>
          </w:p>
        </w:tc>
        <w:tc>
          <w:tcPr>
            <w:tcW w:w="4280" w:type="dxa"/>
            <w:vAlign w:val="bottom"/>
          </w:tcPr>
          <w:p>
            <w:pPr>
              <w:ind w:left="2280"/>
              <w:spacing w:after="0"/>
              <w:rPr>
                <w:sz w:val="20"/>
                <w:szCs w:val="20"/>
                <w:color w:val="auto"/>
              </w:rPr>
            </w:pPr>
            <w:r>
              <w:rPr>
                <w:rFonts w:ascii="Arial" w:cs="Arial" w:eastAsia="Arial" w:hAnsi="Arial"/>
                <w:sz w:val="14"/>
                <w:szCs w:val="14"/>
                <w:b w:val="1"/>
                <w:bCs w:val="1"/>
                <w:color w:val="auto"/>
              </w:rPr>
              <w:t>Activity</w:t>
            </w:r>
          </w:p>
        </w:tc>
      </w:tr>
      <w:tr>
        <w:trPr>
          <w:trHeight w:val="161"/>
        </w:trPr>
        <w:tc>
          <w:tcPr>
            <w:tcW w:w="4680" w:type="dxa"/>
            <w:vAlign w:val="bottom"/>
          </w:tcPr>
          <w:p>
            <w:pPr>
              <w:spacing w:after="0"/>
              <w:rPr>
                <w:sz w:val="20"/>
                <w:szCs w:val="20"/>
                <w:color w:val="auto"/>
              </w:rPr>
            </w:pPr>
            <w:r>
              <w:rPr>
                <w:rFonts w:ascii="Arial" w:cs="Arial" w:eastAsia="Arial" w:hAnsi="Arial"/>
                <w:sz w:val="14"/>
                <w:szCs w:val="14"/>
                <w:b w:val="1"/>
                <w:bCs w:val="1"/>
                <w:color w:val="auto"/>
              </w:rPr>
              <w:t>Direct Subsidiaries:</w:t>
            </w:r>
          </w:p>
        </w:tc>
        <w:tc>
          <w:tcPr>
            <w:tcW w:w="246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A Mexican real estate company, which owns</w:t>
            </w:r>
          </w:p>
        </w:tc>
      </w:tr>
      <w:tr>
        <w:trPr>
          <w:trHeight w:val="216"/>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3"/>
              </w:rPr>
              <w:t>properties where several stores of ODM are</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Centro de Apoyo, S. A. de C. V.</w:t>
            </w:r>
          </w:p>
        </w:tc>
        <w:tc>
          <w:tcPr>
            <w:tcW w:w="2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0"/>
              </w:rPr>
              <w:t>99.998%</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located.</w:t>
            </w:r>
          </w:p>
        </w:tc>
      </w:tr>
      <w:tr>
        <w:trPr>
          <w:trHeight w:val="316"/>
        </w:trPr>
        <w:tc>
          <w:tcPr>
            <w:tcW w:w="4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760"/>
              <w:spacing w:after="0"/>
              <w:rPr>
                <w:sz w:val="20"/>
                <w:szCs w:val="20"/>
                <w:color w:val="auto"/>
              </w:rPr>
            </w:pPr>
            <w:r>
              <w:rPr>
                <w:rFonts w:ascii="Arial" w:cs="Arial" w:eastAsia="Arial" w:hAnsi="Arial"/>
                <w:sz w:val="18"/>
                <w:szCs w:val="18"/>
                <w:color w:val="auto"/>
              </w:rPr>
              <w:t>A Mexican holding company of subsidiaries</w:t>
            </w:r>
          </w:p>
        </w:tc>
      </w:tr>
      <w:tr>
        <w:trPr>
          <w:trHeight w:val="216"/>
        </w:trPr>
        <w:tc>
          <w:tcPr>
            <w:tcW w:w="4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w w:val="88"/>
              </w:rPr>
              <w:t>specialized in the retail, catalogue business for</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 D. G. Caribe, S. A. de C. V.</w:t>
            </w:r>
          </w:p>
        </w:tc>
        <w:tc>
          <w:tcPr>
            <w:tcW w:w="2460" w:type="dxa"/>
            <w:vAlign w:val="bottom"/>
          </w:tcPr>
          <w:p>
            <w:pPr>
              <w:jc w:val="center"/>
              <w:ind w:left="14"/>
              <w:spacing w:after="0"/>
              <w:rPr>
                <w:sz w:val="20"/>
                <w:szCs w:val="20"/>
                <w:color w:val="auto"/>
              </w:rPr>
            </w:pPr>
            <w:r>
              <w:rPr>
                <w:rFonts w:ascii="Arial" w:cs="Arial" w:eastAsia="Arial" w:hAnsi="Arial"/>
                <w:sz w:val="18"/>
                <w:szCs w:val="18"/>
                <w:color w:val="auto"/>
                <w:w w:val="87"/>
              </w:rPr>
              <w:t>99.999999%</w:t>
            </w:r>
          </w:p>
        </w:tc>
        <w:tc>
          <w:tcPr>
            <w:tcW w:w="4280" w:type="dxa"/>
            <w:vAlign w:val="bottom"/>
          </w:tcPr>
          <w:p>
            <w:pPr>
              <w:ind w:left="980"/>
              <w:spacing w:after="0"/>
              <w:rPr>
                <w:sz w:val="20"/>
                <w:szCs w:val="20"/>
                <w:color w:val="auto"/>
              </w:rPr>
            </w:pPr>
            <w:r>
              <w:rPr>
                <w:rFonts w:ascii="Arial" w:cs="Arial" w:eastAsia="Arial" w:hAnsi="Arial"/>
                <w:sz w:val="18"/>
                <w:szCs w:val="18"/>
                <w:color w:val="auto"/>
              </w:rPr>
              <w:t>office supplies, located in Colombia.</w:t>
            </w:r>
          </w:p>
        </w:tc>
      </w:tr>
      <w:tr>
        <w:trPr>
          <w:trHeight w:val="110"/>
        </w:trPr>
        <w:tc>
          <w:tcPr>
            <w:tcW w:w="4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Provides administrative services to Mexican</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Servicios Administrativos Office Depot, S. A. de C. V.</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99.84%</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related parties, located in Mexico.</w:t>
            </w:r>
          </w:p>
        </w:tc>
      </w:tr>
      <w:tr>
        <w:trPr>
          <w:trHeight w:val="316"/>
        </w:trPr>
        <w:tc>
          <w:tcPr>
            <w:tcW w:w="4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76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OD Guatemala y Cía. LTDA</w:t>
            </w:r>
          </w:p>
        </w:tc>
        <w:tc>
          <w:tcPr>
            <w:tcW w:w="2460" w:type="dxa"/>
            <w:vAlign w:val="bottom"/>
          </w:tcPr>
          <w:p>
            <w:pPr>
              <w:jc w:val="center"/>
              <w:ind w:left="14"/>
              <w:spacing w:after="0"/>
              <w:rPr>
                <w:sz w:val="20"/>
                <w:szCs w:val="20"/>
                <w:color w:val="auto"/>
              </w:rPr>
            </w:pPr>
            <w:r>
              <w:rPr>
                <w:rFonts w:ascii="Arial" w:cs="Arial" w:eastAsia="Arial" w:hAnsi="Arial"/>
                <w:sz w:val="18"/>
                <w:szCs w:val="18"/>
                <w:color w:val="auto"/>
                <w:w w:val="88"/>
              </w:rPr>
              <w:t>99.9999%</w:t>
            </w:r>
          </w:p>
        </w:tc>
        <w:tc>
          <w:tcPr>
            <w:tcW w:w="4280" w:type="dxa"/>
            <w:vAlign w:val="bottom"/>
          </w:tcPr>
          <w:p>
            <w:pPr>
              <w:ind w:left="980"/>
              <w:spacing w:after="0"/>
              <w:rPr>
                <w:sz w:val="20"/>
                <w:szCs w:val="20"/>
                <w:color w:val="auto"/>
              </w:rPr>
            </w:pPr>
            <w:r>
              <w:rPr>
                <w:rFonts w:ascii="Arial" w:cs="Arial" w:eastAsia="Arial" w:hAnsi="Arial"/>
                <w:sz w:val="18"/>
                <w:szCs w:val="18"/>
                <w:color w:val="auto"/>
              </w:rPr>
              <w:t>office supplies, located in Guatemala.</w:t>
            </w:r>
          </w:p>
        </w:tc>
      </w:tr>
      <w:tr>
        <w:trPr>
          <w:trHeight w:val="110"/>
        </w:trPr>
        <w:tc>
          <w:tcPr>
            <w:tcW w:w="4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Erial BQ, S. A.</w:t>
            </w:r>
          </w:p>
        </w:tc>
        <w:tc>
          <w:tcPr>
            <w:tcW w:w="2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100%</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office supplies, located in Costa Rica.</w:t>
            </w:r>
          </w:p>
        </w:tc>
      </w:tr>
      <w:tr>
        <w:trPr>
          <w:trHeight w:val="316"/>
        </w:trPr>
        <w:tc>
          <w:tcPr>
            <w:tcW w:w="4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76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OD El Salvador, LTDA de C. V.</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99.99%</w:t>
            </w:r>
          </w:p>
        </w:tc>
        <w:tc>
          <w:tcPr>
            <w:tcW w:w="4280" w:type="dxa"/>
            <w:vAlign w:val="bottom"/>
          </w:tcPr>
          <w:p>
            <w:pPr>
              <w:ind w:left="980"/>
              <w:spacing w:after="0"/>
              <w:rPr>
                <w:sz w:val="20"/>
                <w:szCs w:val="20"/>
                <w:color w:val="auto"/>
              </w:rPr>
            </w:pPr>
            <w:r>
              <w:rPr>
                <w:rFonts w:ascii="Arial" w:cs="Arial" w:eastAsia="Arial" w:hAnsi="Arial"/>
                <w:sz w:val="18"/>
                <w:szCs w:val="18"/>
                <w:color w:val="auto"/>
              </w:rPr>
              <w:t>office supplies, located in El Salvador.</w:t>
            </w:r>
          </w:p>
        </w:tc>
      </w:tr>
      <w:tr>
        <w:trPr>
          <w:trHeight w:val="110"/>
        </w:trPr>
        <w:tc>
          <w:tcPr>
            <w:tcW w:w="4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OD Honduras, S. de R. L.</w:t>
            </w:r>
          </w:p>
        </w:tc>
        <w:tc>
          <w:tcPr>
            <w:tcW w:w="2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0"/>
              </w:rPr>
              <w:t>99.999%</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office supplies, located in Honduras.</w:t>
            </w:r>
          </w:p>
        </w:tc>
      </w:tr>
      <w:tr>
        <w:trPr>
          <w:trHeight w:val="316"/>
        </w:trPr>
        <w:tc>
          <w:tcPr>
            <w:tcW w:w="4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76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OD Panamá, S. A.</w:t>
            </w:r>
          </w:p>
        </w:tc>
        <w:tc>
          <w:tcPr>
            <w:tcW w:w="2460" w:type="dxa"/>
            <w:vAlign w:val="bottom"/>
          </w:tcPr>
          <w:p>
            <w:pPr>
              <w:jc w:val="center"/>
              <w:ind w:left="14"/>
              <w:spacing w:after="0"/>
              <w:rPr>
                <w:sz w:val="20"/>
                <w:szCs w:val="20"/>
                <w:color w:val="auto"/>
              </w:rPr>
            </w:pPr>
            <w:r>
              <w:rPr>
                <w:rFonts w:ascii="Arial" w:cs="Arial" w:eastAsia="Arial" w:hAnsi="Arial"/>
                <w:sz w:val="18"/>
                <w:szCs w:val="18"/>
                <w:color w:val="auto"/>
                <w:w w:val="86"/>
              </w:rPr>
              <w:t>100%</w:t>
            </w:r>
          </w:p>
        </w:tc>
        <w:tc>
          <w:tcPr>
            <w:tcW w:w="4280" w:type="dxa"/>
            <w:vAlign w:val="bottom"/>
          </w:tcPr>
          <w:p>
            <w:pPr>
              <w:ind w:left="980"/>
              <w:spacing w:after="0"/>
              <w:rPr>
                <w:sz w:val="20"/>
                <w:szCs w:val="20"/>
                <w:color w:val="auto"/>
              </w:rPr>
            </w:pPr>
            <w:r>
              <w:rPr>
                <w:rFonts w:ascii="Arial" w:cs="Arial" w:eastAsia="Arial" w:hAnsi="Arial"/>
                <w:sz w:val="18"/>
                <w:szCs w:val="18"/>
                <w:color w:val="auto"/>
              </w:rPr>
              <w:t>office supplies, located in Panama.</w:t>
            </w:r>
          </w:p>
        </w:tc>
      </w:tr>
      <w:tr>
        <w:trPr>
          <w:trHeight w:val="110"/>
        </w:trPr>
        <w:tc>
          <w:tcPr>
            <w:tcW w:w="4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The distribution and handling of office supplies</w:t>
            </w:r>
          </w:p>
        </w:tc>
      </w:tr>
      <w:tr>
        <w:trPr>
          <w:trHeight w:val="216"/>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9"/>
              </w:rPr>
              <w:t>inventories as well as printed forms, located in</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Formas Eficientes, S. A. de C. V.</w:t>
            </w:r>
          </w:p>
        </w:tc>
        <w:tc>
          <w:tcPr>
            <w:tcW w:w="2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0"/>
              </w:rPr>
              <w:t>99.922%</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Mexico.</w:t>
            </w:r>
          </w:p>
        </w:tc>
      </w:tr>
      <w:tr>
        <w:trPr>
          <w:trHeight w:val="316"/>
        </w:trPr>
        <w:tc>
          <w:tcPr>
            <w:tcW w:w="4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ind w:left="760"/>
              <w:spacing w:after="0"/>
              <w:rPr>
                <w:sz w:val="20"/>
                <w:szCs w:val="20"/>
                <w:color w:val="auto"/>
              </w:rPr>
            </w:pPr>
            <w:r>
              <w:rPr>
                <w:rFonts w:ascii="Arial" w:cs="Arial" w:eastAsia="Arial" w:hAnsi="Arial"/>
                <w:sz w:val="18"/>
                <w:szCs w:val="18"/>
                <w:color w:val="auto"/>
                <w:w w:val="94"/>
              </w:rPr>
              <w:t>The distribution and handling of office supplies</w:t>
            </w:r>
          </w:p>
        </w:tc>
      </w:tr>
      <w:tr>
        <w:trPr>
          <w:trHeight w:val="216"/>
        </w:trPr>
        <w:tc>
          <w:tcPr>
            <w:tcW w:w="4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Arial" w:cs="Arial" w:eastAsia="Arial" w:hAnsi="Arial"/>
                <w:sz w:val="18"/>
                <w:szCs w:val="18"/>
                <w:color w:val="auto"/>
                <w:w w:val="95"/>
              </w:rPr>
              <w:t>inventories as well printed forms, located in</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FESA Formas Eficientes, S. A.</w:t>
            </w:r>
          </w:p>
        </w:tc>
        <w:tc>
          <w:tcPr>
            <w:tcW w:w="2460" w:type="dxa"/>
            <w:vAlign w:val="bottom"/>
          </w:tcPr>
          <w:p>
            <w:pPr>
              <w:jc w:val="center"/>
              <w:ind w:left="14"/>
              <w:spacing w:after="0"/>
              <w:rPr>
                <w:sz w:val="20"/>
                <w:szCs w:val="20"/>
                <w:color w:val="auto"/>
              </w:rPr>
            </w:pPr>
            <w:r>
              <w:rPr>
                <w:rFonts w:ascii="Arial" w:cs="Arial" w:eastAsia="Arial" w:hAnsi="Arial"/>
                <w:sz w:val="18"/>
                <w:szCs w:val="18"/>
                <w:color w:val="auto"/>
                <w:w w:val="86"/>
              </w:rPr>
              <w:t>100%</w:t>
            </w:r>
          </w:p>
        </w:tc>
        <w:tc>
          <w:tcPr>
            <w:tcW w:w="4280" w:type="dxa"/>
            <w:vAlign w:val="bottom"/>
          </w:tcPr>
          <w:p>
            <w:pPr>
              <w:ind w:left="980"/>
              <w:spacing w:after="0"/>
              <w:rPr>
                <w:sz w:val="20"/>
                <w:szCs w:val="20"/>
                <w:color w:val="auto"/>
              </w:rPr>
            </w:pPr>
            <w:r>
              <w:rPr>
                <w:rFonts w:ascii="Arial" w:cs="Arial" w:eastAsia="Arial" w:hAnsi="Arial"/>
                <w:sz w:val="18"/>
                <w:szCs w:val="18"/>
                <w:color w:val="auto"/>
              </w:rPr>
              <w:t>Costa Rica.</w:t>
            </w:r>
          </w:p>
        </w:tc>
      </w:tr>
      <w:tr>
        <w:trPr>
          <w:trHeight w:val="110"/>
        </w:trPr>
        <w:tc>
          <w:tcPr>
            <w:tcW w:w="4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08"/>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The distribution and handling of office supplies</w:t>
            </w:r>
          </w:p>
        </w:tc>
      </w:tr>
      <w:tr>
        <w:trPr>
          <w:trHeight w:val="216"/>
        </w:trPr>
        <w:tc>
          <w:tcPr>
            <w:tcW w:w="4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9"/>
              </w:rPr>
              <w:t>inventories as well as printed forms, located in</w:t>
            </w:r>
          </w:p>
        </w:tc>
      </w:tr>
      <w:tr>
        <w:trPr>
          <w:trHeight w:val="22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Ofixpres, S.A. de C.V.</w:t>
            </w:r>
          </w:p>
        </w:tc>
        <w:tc>
          <w:tcPr>
            <w:tcW w:w="2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0"/>
              </w:rPr>
              <w:t>99.939%</w:t>
            </w:r>
          </w:p>
        </w:tc>
        <w:tc>
          <w:tcPr>
            <w:tcW w:w="4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El Salvador.</w:t>
            </w:r>
          </w:p>
        </w:tc>
      </w:tr>
      <w:tr>
        <w:trPr>
          <w:trHeight w:val="363"/>
        </w:trPr>
        <w:tc>
          <w:tcPr>
            <w:tcW w:w="4680" w:type="dxa"/>
            <w:vAlign w:val="bottom"/>
          </w:tcPr>
          <w:p>
            <w:pPr>
              <w:spacing w:after="0"/>
              <w:rPr>
                <w:sz w:val="24"/>
                <w:szCs w:val="24"/>
                <w:color w:val="auto"/>
              </w:rPr>
            </w:pPr>
          </w:p>
        </w:tc>
        <w:tc>
          <w:tcPr>
            <w:tcW w:w="2460" w:type="dxa"/>
            <w:vAlign w:val="bottom"/>
          </w:tcPr>
          <w:p>
            <w:pPr>
              <w:jc w:val="right"/>
              <w:ind w:right="1294"/>
              <w:spacing w:after="0"/>
              <w:rPr>
                <w:sz w:val="20"/>
                <w:szCs w:val="20"/>
                <w:color w:val="auto"/>
              </w:rPr>
            </w:pPr>
            <w:r>
              <w:rPr>
                <w:rFonts w:ascii="Arial" w:cs="Arial" w:eastAsia="Arial" w:hAnsi="Arial"/>
                <w:sz w:val="18"/>
                <w:szCs w:val="18"/>
                <w:color w:val="auto"/>
              </w:rPr>
              <w:t>7</w:t>
            </w:r>
          </w:p>
        </w:tc>
        <w:tc>
          <w:tcPr>
            <w:tcW w:w="42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20" w:type="dxa"/>
            <w:vAlign w:val="bottom"/>
          </w:tcPr>
          <w:p>
            <w:pPr>
              <w:ind w:left="1720"/>
              <w:spacing w:after="0"/>
              <w:rPr>
                <w:sz w:val="20"/>
                <w:szCs w:val="20"/>
                <w:color w:val="auto"/>
              </w:rPr>
            </w:pPr>
            <w:r>
              <w:rPr>
                <w:rFonts w:ascii="Arial" w:cs="Arial" w:eastAsia="Arial" w:hAnsi="Arial"/>
                <w:sz w:val="14"/>
                <w:szCs w:val="14"/>
                <w:b w:val="1"/>
                <w:bCs w:val="1"/>
                <w:color w:val="auto"/>
              </w:rPr>
              <w:t>Company</w:t>
            </w:r>
          </w:p>
        </w:tc>
        <w:tc>
          <w:tcPr>
            <w:tcW w:w="2840" w:type="dxa"/>
            <w:vAlign w:val="bottom"/>
          </w:tcPr>
          <w:p>
            <w:pPr>
              <w:ind w:left="1540"/>
              <w:spacing w:after="0"/>
              <w:rPr>
                <w:sz w:val="20"/>
                <w:szCs w:val="20"/>
                <w:color w:val="auto"/>
              </w:rPr>
            </w:pPr>
            <w:r>
              <w:rPr>
                <w:rFonts w:ascii="Arial" w:cs="Arial" w:eastAsia="Arial" w:hAnsi="Arial"/>
                <w:sz w:val="14"/>
                <w:szCs w:val="14"/>
                <w:b w:val="1"/>
                <w:bCs w:val="1"/>
                <w:color w:val="auto"/>
              </w:rPr>
              <w:t>Equity</w:t>
            </w:r>
          </w:p>
        </w:tc>
        <w:tc>
          <w:tcPr>
            <w:tcW w:w="4360" w:type="dxa"/>
            <w:vAlign w:val="bottom"/>
          </w:tcPr>
          <w:p>
            <w:pPr>
              <w:ind w:left="2360"/>
              <w:spacing w:after="0"/>
              <w:rPr>
                <w:sz w:val="20"/>
                <w:szCs w:val="20"/>
                <w:color w:val="auto"/>
              </w:rPr>
            </w:pPr>
            <w:r>
              <w:rPr>
                <w:rFonts w:ascii="Arial" w:cs="Arial" w:eastAsia="Arial" w:hAnsi="Arial"/>
                <w:sz w:val="14"/>
                <w:szCs w:val="14"/>
                <w:b w:val="1"/>
                <w:bCs w:val="1"/>
                <w:color w:val="auto"/>
              </w:rPr>
              <w:t>Activity</w:t>
            </w:r>
          </w:p>
        </w:tc>
      </w:tr>
      <w:tr>
        <w:trPr>
          <w:trHeight w:val="161"/>
        </w:trPr>
        <w:tc>
          <w:tcPr>
            <w:tcW w:w="4220" w:type="dxa"/>
            <w:vAlign w:val="bottom"/>
          </w:tcPr>
          <w:p>
            <w:pPr>
              <w:spacing w:after="0"/>
              <w:rPr>
                <w:sz w:val="20"/>
                <w:szCs w:val="20"/>
                <w:color w:val="auto"/>
              </w:rPr>
            </w:pPr>
            <w:r>
              <w:rPr>
                <w:rFonts w:ascii="Arial" w:cs="Arial" w:eastAsia="Arial" w:hAnsi="Arial"/>
                <w:sz w:val="14"/>
                <w:szCs w:val="14"/>
                <w:b w:val="1"/>
                <w:bCs w:val="1"/>
                <w:color w:val="auto"/>
              </w:rPr>
              <w:t>Indirect subsidiaries:</w:t>
            </w:r>
          </w:p>
        </w:tc>
        <w:tc>
          <w:tcPr>
            <w:tcW w:w="284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208"/>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6"/>
              </w:rPr>
              <w:t>The acquisition and leasing of all types of real</w:t>
            </w:r>
          </w:p>
        </w:tc>
      </w:tr>
      <w:tr>
        <w:trPr>
          <w:trHeight w:val="216"/>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estate. This company has not initiated</w:t>
            </w:r>
          </w:p>
        </w:tc>
      </w:tr>
      <w:tr>
        <w:trPr>
          <w:trHeight w:val="216"/>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7"/>
              </w:rPr>
              <w:t>operations as of the date of these consolidated</w:t>
            </w:r>
          </w:p>
        </w:tc>
      </w:tr>
      <w:tr>
        <w:trPr>
          <w:trHeight w:val="216"/>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financial statements (subsidiary of Centro de</w:t>
            </w: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Centro de Apoyo Caribe S. A. de C. V.</w:t>
            </w:r>
          </w:p>
        </w:tc>
        <w:tc>
          <w:tcPr>
            <w:tcW w:w="284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90.00%</w:t>
            </w: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Apoyo, S. A. de C. V.), located in Mexico.</w:t>
            </w:r>
          </w:p>
        </w:tc>
      </w:tr>
      <w:tr>
        <w:trPr>
          <w:trHeight w:val="316"/>
        </w:trPr>
        <w:tc>
          <w:tcPr>
            <w:tcW w:w="4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60" w:type="dxa"/>
            <w:vAlign w:val="bottom"/>
          </w:tcPr>
          <w:p>
            <w:pPr>
              <w:ind w:left="840"/>
              <w:spacing w:after="0"/>
              <w:rPr>
                <w:sz w:val="20"/>
                <w:szCs w:val="20"/>
                <w:color w:val="auto"/>
              </w:rPr>
            </w:pPr>
            <w:r>
              <w:rPr>
                <w:rFonts w:ascii="Arial" w:cs="Arial" w:eastAsia="Arial" w:hAnsi="Arial"/>
                <w:sz w:val="18"/>
                <w:szCs w:val="18"/>
                <w:color w:val="auto"/>
                <w:w w:val="96"/>
              </w:rPr>
              <w:t>Stores specializing in the sale of services and</w:t>
            </w:r>
          </w:p>
        </w:tc>
      </w:tr>
      <w:tr>
        <w:trPr>
          <w:trHeight w:val="216"/>
        </w:trPr>
        <w:tc>
          <w:tcPr>
            <w:tcW w:w="4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w w:val="90"/>
              </w:rPr>
              <w:t>office supplies (subsidiary of ODG. Caribe, S.</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OD Colombia, S. A. S.</w:t>
            </w:r>
          </w:p>
        </w:tc>
        <w:tc>
          <w:tcPr>
            <w:tcW w:w="2840" w:type="dxa"/>
            <w:vAlign w:val="bottom"/>
          </w:tcPr>
          <w:p>
            <w:pPr>
              <w:jc w:val="center"/>
              <w:ind w:left="536"/>
              <w:spacing w:after="0"/>
              <w:rPr>
                <w:sz w:val="20"/>
                <w:szCs w:val="20"/>
                <w:color w:val="auto"/>
              </w:rPr>
            </w:pPr>
            <w:r>
              <w:rPr>
                <w:rFonts w:ascii="Arial" w:cs="Arial" w:eastAsia="Arial" w:hAnsi="Arial"/>
                <w:sz w:val="18"/>
                <w:szCs w:val="18"/>
                <w:color w:val="auto"/>
                <w:w w:val="88"/>
              </w:rPr>
              <w:t>98.02%</w:t>
            </w:r>
          </w:p>
        </w:tc>
        <w:tc>
          <w:tcPr>
            <w:tcW w:w="4360" w:type="dxa"/>
            <w:vAlign w:val="bottom"/>
          </w:tcPr>
          <w:p>
            <w:pPr>
              <w:ind w:left="1060"/>
              <w:spacing w:after="0"/>
              <w:rPr>
                <w:sz w:val="20"/>
                <w:szCs w:val="20"/>
                <w:color w:val="auto"/>
              </w:rPr>
            </w:pPr>
            <w:r>
              <w:rPr>
                <w:rFonts w:ascii="Arial" w:cs="Arial" w:eastAsia="Arial" w:hAnsi="Arial"/>
                <w:sz w:val="18"/>
                <w:szCs w:val="18"/>
                <w:color w:val="auto"/>
              </w:rPr>
              <w:t>A. de C. V.), located in Colombia.</w:t>
            </w:r>
          </w:p>
        </w:tc>
      </w:tr>
      <w:tr>
        <w:trPr>
          <w:trHeight w:val="110"/>
        </w:trPr>
        <w:tc>
          <w:tcPr>
            <w:tcW w:w="42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360" w:type="dxa"/>
            <w:vAlign w:val="bottom"/>
          </w:tcPr>
          <w:p>
            <w:pPr>
              <w:spacing w:after="0"/>
              <w:rPr>
                <w:sz w:val="9"/>
                <w:szCs w:val="9"/>
                <w:color w:val="auto"/>
              </w:rPr>
            </w:pPr>
          </w:p>
        </w:tc>
      </w:tr>
      <w:tr>
        <w:trPr>
          <w:trHeight w:val="208"/>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The distribution of office supplies (subsidiary of</w:t>
            </w:r>
          </w:p>
        </w:tc>
      </w:tr>
      <w:tr>
        <w:trPr>
          <w:trHeight w:val="216"/>
        </w:trPr>
        <w:tc>
          <w:tcPr>
            <w:tcW w:w="4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Formas Eficientes, S. A. de C. V.), located in</w:t>
            </w: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Papelera General, S. A. de C. V.</w:t>
            </w:r>
          </w:p>
        </w:tc>
        <w:tc>
          <w:tcPr>
            <w:tcW w:w="284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99.99%</w:t>
            </w: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México.</w:t>
            </w:r>
          </w:p>
        </w:tc>
      </w:tr>
      <w:tr>
        <w:trPr>
          <w:trHeight w:val="316"/>
        </w:trPr>
        <w:tc>
          <w:tcPr>
            <w:tcW w:w="4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360" w:type="dxa"/>
            <w:vAlign w:val="bottom"/>
          </w:tcPr>
          <w:p>
            <w:pPr>
              <w:ind w:left="840"/>
              <w:spacing w:after="0"/>
              <w:rPr>
                <w:sz w:val="20"/>
                <w:szCs w:val="20"/>
                <w:color w:val="auto"/>
              </w:rPr>
            </w:pPr>
            <w:r>
              <w:rPr>
                <w:rFonts w:ascii="Arial" w:cs="Arial" w:eastAsia="Arial" w:hAnsi="Arial"/>
                <w:sz w:val="18"/>
                <w:szCs w:val="18"/>
                <w:color w:val="auto"/>
                <w:w w:val="94"/>
              </w:rPr>
              <w:t>The distribution and handling of office supplies</w:t>
            </w:r>
          </w:p>
        </w:tc>
      </w:tr>
      <w:tr>
        <w:trPr>
          <w:trHeight w:val="216"/>
        </w:trPr>
        <w:tc>
          <w:tcPr>
            <w:tcW w:w="4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w w:val="96"/>
              </w:rPr>
              <w:t>inventories as well as fabrication of printed</w:t>
            </w:r>
          </w:p>
        </w:tc>
      </w:tr>
      <w:tr>
        <w:trPr>
          <w:trHeight w:val="216"/>
        </w:trPr>
        <w:tc>
          <w:tcPr>
            <w:tcW w:w="4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w w:val="90"/>
              </w:rPr>
              <w:t>forms, located in Colombia, (subsidiary of OD</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Ofixpres, S. A. S.</w:t>
            </w:r>
          </w:p>
        </w:tc>
        <w:tc>
          <w:tcPr>
            <w:tcW w:w="2840" w:type="dxa"/>
            <w:vAlign w:val="bottom"/>
          </w:tcPr>
          <w:p>
            <w:pPr>
              <w:jc w:val="center"/>
              <w:ind w:left="556"/>
              <w:spacing w:after="0"/>
              <w:rPr>
                <w:sz w:val="20"/>
                <w:szCs w:val="20"/>
                <w:color w:val="auto"/>
              </w:rPr>
            </w:pPr>
            <w:r>
              <w:rPr>
                <w:rFonts w:ascii="Arial" w:cs="Arial" w:eastAsia="Arial" w:hAnsi="Arial"/>
                <w:sz w:val="18"/>
                <w:szCs w:val="18"/>
                <w:color w:val="auto"/>
                <w:w w:val="86"/>
              </w:rPr>
              <w:t>100%</w:t>
            </w:r>
          </w:p>
        </w:tc>
        <w:tc>
          <w:tcPr>
            <w:tcW w:w="4360" w:type="dxa"/>
            <w:vAlign w:val="bottom"/>
          </w:tcPr>
          <w:p>
            <w:pPr>
              <w:ind w:left="1060"/>
              <w:spacing w:after="0"/>
              <w:rPr>
                <w:sz w:val="20"/>
                <w:szCs w:val="20"/>
                <w:color w:val="auto"/>
              </w:rPr>
            </w:pPr>
            <w:r>
              <w:rPr>
                <w:rFonts w:ascii="Arial" w:cs="Arial" w:eastAsia="Arial" w:hAnsi="Arial"/>
                <w:sz w:val="18"/>
                <w:szCs w:val="18"/>
                <w:color w:val="auto"/>
              </w:rPr>
              <w:t>Colombia, S. A. S.).</w:t>
            </w: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Significant intercompany balances and transactions have been eliminated in the accompanying consolidated financial statements.</w:t>
      </w:r>
    </w:p>
    <w:p>
      <w:pPr>
        <w:spacing w:after="0" w:line="90" w:lineRule="exact"/>
        <w:rPr>
          <w:sz w:val="20"/>
          <w:szCs w:val="20"/>
          <w:color w:val="auto"/>
        </w:rPr>
      </w:pPr>
    </w:p>
    <w:p>
      <w:pPr>
        <w:ind w:left="900" w:right="60" w:hanging="446"/>
        <w:spacing w:after="0" w:line="298"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Translation of financial statements of foreign subsidiaries</w:t>
      </w:r>
      <w:r>
        <w:rPr>
          <w:rFonts w:ascii="Arial" w:cs="Arial" w:eastAsia="Arial" w:hAnsi="Arial"/>
          <w:sz w:val="16"/>
          <w:szCs w:val="16"/>
          <w:i w:val="1"/>
          <w:iCs w:val="1"/>
          <w:color w:val="auto"/>
        </w:rPr>
        <w:t>—</w:t>
      </w:r>
      <w:r>
        <w:rPr>
          <w:rFonts w:ascii="Arial" w:cs="Arial" w:eastAsia="Arial" w:hAnsi="Arial"/>
          <w:sz w:val="16"/>
          <w:szCs w:val="16"/>
          <w:color w:val="auto"/>
        </w:rPr>
        <w:t>To consolidate financial statements of foreign subsidiaries, the accounting policies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foreign entity are converted to MFRS using the currency in which transactions are recorded except for the application of NIF B-10, </w:t>
      </w:r>
      <w:r>
        <w:rPr>
          <w:rFonts w:ascii="Arial" w:cs="Arial" w:eastAsia="Arial" w:hAnsi="Arial"/>
          <w:sz w:val="16"/>
          <w:szCs w:val="16"/>
          <w:i w:val="1"/>
          <w:iCs w:val="1"/>
          <w:color w:val="auto"/>
        </w:rPr>
        <w:t>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Inflation</w:t>
      </w:r>
      <w:r>
        <w:rPr>
          <w:rFonts w:ascii="Arial" w:cs="Arial" w:eastAsia="Arial" w:hAnsi="Arial"/>
          <w:sz w:val="16"/>
          <w:szCs w:val="16"/>
          <w:color w:val="auto"/>
        </w:rPr>
        <w:t>, when the foreign entity operates in an inflationary environment, since this NIF applies to financial statements that have been remeasured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functional currency. The financial statements are subsequently translated to Mexican pesos considering the following methodologies:</w:t>
      </w:r>
    </w:p>
    <w:p>
      <w:pPr>
        <w:spacing w:after="0" w:line="113"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Foreign operations which operate in a non-inflationary environment and whose functional currency is the same as the currency in which transactions are recorded translate their financial statements using the following exchange rates: 1) the closing exchange rate in effect at the balance sheet date for assets and liabilities; 2) historical exchange rates for stockholders’ equity, and 3) the rate on the date of accrual of revenues, costs and expenses. Translation effects are recorded in stockholders’ equity.</w:t>
      </w:r>
    </w:p>
    <w:p>
      <w:pPr>
        <w:spacing w:after="0" w:line="143"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Foreign operations which operate in an inflationary environment and whose functional currency is the same as the currency in which transactions are recorded, first restate their financial statements in currency of purchasing power as of the date of the balance sheet, using the price index of the country of origin of the functional currency, and subsequently translate those amounts to Mexican pesos using the closing exchange rate in effect at the balance sheet date for all items. Translation effects are recorded in stockholders’ equity.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30" w:right="239" w:bottom="1440" w:gutter="0" w:footer="0" w:header="0"/>
        </w:sectPr>
      </w:pPr>
    </w:p>
    <w:bookmarkStart w:id="216" w:name="page217"/>
    <w:bookmarkEnd w:id="216"/>
    <w:p>
      <w:pPr>
        <w:ind w:left="912"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currency in which transactions are recorded and the functional currency of foreign operations and the exchange rates used in the different translation processes are as follows:</w:t>
      </w:r>
    </w:p>
    <w:p>
      <w:pPr>
        <w:spacing w:after="0" w:line="156"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jc w:val="center"/>
              <w:ind w:left="58"/>
              <w:spacing w:after="0"/>
              <w:rPr>
                <w:sz w:val="20"/>
                <w:szCs w:val="20"/>
                <w:color w:val="auto"/>
              </w:rPr>
            </w:pPr>
            <w:r>
              <w:rPr>
                <w:rFonts w:ascii="Arial" w:cs="Arial" w:eastAsia="Arial" w:hAnsi="Arial"/>
                <w:sz w:val="14"/>
                <w:szCs w:val="14"/>
                <w:b w:val="1"/>
                <w:bCs w:val="1"/>
                <w:color w:val="auto"/>
                <w:w w:val="86"/>
              </w:rPr>
              <w:t>Exchange rate to</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Functional</w:t>
            </w:r>
          </w:p>
        </w:tc>
        <w:tc>
          <w:tcPr>
            <w:tcW w:w="1600" w:type="dxa"/>
            <w:vAlign w:val="bottom"/>
          </w:tcPr>
          <w:p>
            <w:pPr>
              <w:jc w:val="center"/>
              <w:ind w:left="58"/>
              <w:spacing w:after="0" w:line="149" w:lineRule="exact"/>
              <w:rPr>
                <w:sz w:val="20"/>
                <w:szCs w:val="20"/>
                <w:color w:val="auto"/>
              </w:rPr>
            </w:pPr>
            <w:r>
              <w:rPr>
                <w:rFonts w:ascii="Arial" w:cs="Arial" w:eastAsia="Arial" w:hAnsi="Arial"/>
                <w:sz w:val="14"/>
                <w:szCs w:val="14"/>
                <w:b w:val="1"/>
                <w:bCs w:val="1"/>
                <w:color w:val="auto"/>
                <w:w w:val="87"/>
              </w:rPr>
              <w:t>translate from</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60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87"/>
              </w:rPr>
              <w:t>functional currency to</w:t>
            </w:r>
          </w:p>
        </w:tc>
        <w:tc>
          <w:tcPr>
            <w:tcW w:w="0" w:type="dxa"/>
            <w:vAlign w:val="bottom"/>
          </w:tcPr>
          <w:p>
            <w:pPr>
              <w:spacing w:after="0"/>
              <w:rPr>
                <w:sz w:val="1"/>
                <w:szCs w:val="1"/>
                <w:color w:val="auto"/>
              </w:rPr>
            </w:pPr>
          </w:p>
        </w:tc>
      </w:tr>
      <w:tr>
        <w:trPr>
          <w:trHeight w:val="175"/>
        </w:trPr>
        <w:tc>
          <w:tcPr>
            <w:tcW w:w="3660" w:type="dxa"/>
            <w:vAlign w:val="bottom"/>
          </w:tcPr>
          <w:p>
            <w:pPr>
              <w:ind w:left="1920"/>
              <w:spacing w:after="0"/>
              <w:rPr>
                <w:sz w:val="20"/>
                <w:szCs w:val="20"/>
                <w:color w:val="auto"/>
              </w:rPr>
            </w:pPr>
            <w:r>
              <w:rPr>
                <w:rFonts w:ascii="Arial" w:cs="Arial" w:eastAsia="Arial" w:hAnsi="Arial"/>
                <w:sz w:val="14"/>
                <w:szCs w:val="14"/>
                <w:b w:val="1"/>
                <w:bCs w:val="1"/>
                <w:color w:val="auto"/>
              </w:rPr>
              <w:t>Company</w:t>
            </w:r>
          </w:p>
        </w:tc>
        <w:tc>
          <w:tcPr>
            <w:tcW w:w="2640" w:type="dxa"/>
            <w:vAlign w:val="bottom"/>
          </w:tcPr>
          <w:p>
            <w:pPr>
              <w:jc w:val="center"/>
              <w:ind w:left="874"/>
              <w:spacing w:after="0"/>
              <w:rPr>
                <w:sz w:val="20"/>
                <w:szCs w:val="20"/>
                <w:color w:val="auto"/>
              </w:rPr>
            </w:pPr>
            <w:r>
              <w:rPr>
                <w:rFonts w:ascii="Arial" w:cs="Arial" w:eastAsia="Arial" w:hAnsi="Arial"/>
                <w:sz w:val="14"/>
                <w:szCs w:val="14"/>
                <w:b w:val="1"/>
                <w:bCs w:val="1"/>
                <w:color w:val="auto"/>
                <w:w w:val="87"/>
              </w:rPr>
              <w:t>Recording currency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600" w:type="dxa"/>
            <w:vAlign w:val="bottom"/>
          </w:tcPr>
          <w:p>
            <w:pPr>
              <w:jc w:val="center"/>
              <w:ind w:left="38"/>
              <w:spacing w:after="0"/>
              <w:rPr>
                <w:sz w:val="20"/>
                <w:szCs w:val="20"/>
                <w:color w:val="auto"/>
              </w:rPr>
            </w:pPr>
            <w:r>
              <w:rPr>
                <w:rFonts w:ascii="Arial" w:cs="Arial" w:eastAsia="Arial" w:hAnsi="Arial"/>
                <w:sz w:val="14"/>
                <w:szCs w:val="14"/>
                <w:b w:val="1"/>
                <w:bCs w:val="1"/>
                <w:color w:val="auto"/>
                <w:w w:val="84"/>
              </w:rPr>
              <w:t>Mexican pesos</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OD Guatemala y Cía. LTDA</w:t>
            </w:r>
          </w:p>
        </w:tc>
        <w:tc>
          <w:tcPr>
            <w:tcW w:w="26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0"/>
              </w:rPr>
              <w:t>Quetzal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Quetzal</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1.7896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Erial BQ, S. A.</w:t>
            </w:r>
          </w:p>
        </w:tc>
        <w:tc>
          <w:tcPr>
            <w:tcW w:w="2640" w:type="dxa"/>
            <w:vAlign w:val="bottom"/>
          </w:tcPr>
          <w:p>
            <w:pPr>
              <w:jc w:val="center"/>
              <w:ind w:left="874"/>
              <w:spacing w:after="0"/>
              <w:rPr>
                <w:sz w:val="20"/>
                <w:szCs w:val="20"/>
                <w:color w:val="auto"/>
              </w:rPr>
            </w:pPr>
            <w:r>
              <w:rPr>
                <w:rFonts w:ascii="Arial" w:cs="Arial" w:eastAsia="Arial" w:hAnsi="Arial"/>
                <w:sz w:val="18"/>
                <w:szCs w:val="18"/>
                <w:color w:val="auto"/>
                <w:w w:val="93"/>
              </w:rPr>
              <w:t>Colon</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Colon</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0.027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FESA Formas Eficientes, S. A.</w:t>
            </w:r>
          </w:p>
        </w:tc>
        <w:tc>
          <w:tcPr>
            <w:tcW w:w="26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3"/>
              </w:rPr>
              <w:t>Colon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Colon</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0.027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OD El Salvador, LTDA de C. V.</w:t>
            </w:r>
          </w:p>
        </w:tc>
        <w:tc>
          <w:tcPr>
            <w:tcW w:w="2640" w:type="dxa"/>
            <w:vAlign w:val="bottom"/>
          </w:tcPr>
          <w:p>
            <w:pPr>
              <w:jc w:val="center"/>
              <w:ind w:left="874"/>
              <w:spacing w:after="0"/>
              <w:rPr>
                <w:sz w:val="20"/>
                <w:szCs w:val="20"/>
                <w:color w:val="auto"/>
              </w:rPr>
            </w:pPr>
            <w:r>
              <w:rPr>
                <w:rFonts w:ascii="Arial" w:cs="Arial" w:eastAsia="Arial" w:hAnsi="Arial"/>
                <w:sz w:val="18"/>
                <w:szCs w:val="18"/>
                <w:color w:val="auto"/>
                <w:w w:val="91"/>
              </w:rPr>
              <w:t>US dollars</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US dollars</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13.9787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Ofixpres, S.A. de C.V.</w:t>
            </w:r>
          </w:p>
        </w:tc>
        <w:tc>
          <w:tcPr>
            <w:tcW w:w="26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1"/>
              </w:rPr>
              <w:t>US dollars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 dollars</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13.9787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OD Honduras, S. de R. L.</w:t>
            </w:r>
          </w:p>
        </w:tc>
        <w:tc>
          <w:tcPr>
            <w:tcW w:w="2640" w:type="dxa"/>
            <w:vAlign w:val="bottom"/>
          </w:tcPr>
          <w:p>
            <w:pPr>
              <w:jc w:val="center"/>
              <w:ind w:left="894"/>
              <w:spacing w:after="0"/>
              <w:rPr>
                <w:sz w:val="20"/>
                <w:szCs w:val="20"/>
                <w:color w:val="auto"/>
              </w:rPr>
            </w:pPr>
            <w:r>
              <w:rPr>
                <w:rFonts w:ascii="Arial" w:cs="Arial" w:eastAsia="Arial" w:hAnsi="Arial"/>
                <w:sz w:val="18"/>
                <w:szCs w:val="18"/>
                <w:color w:val="auto"/>
                <w:w w:val="89"/>
              </w:rPr>
              <w:t>Lempiras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Lempiras</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0.07288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OD Panamá, S. A.</w:t>
            </w:r>
          </w:p>
        </w:tc>
        <w:tc>
          <w:tcPr>
            <w:tcW w:w="2640" w:type="dxa"/>
            <w:vAlign w:val="bottom"/>
            <w:shd w:val="clear" w:color="auto" w:fill="CCEEFF"/>
          </w:tcPr>
          <w:p>
            <w:pPr>
              <w:jc w:val="center"/>
              <w:ind w:left="894"/>
              <w:spacing w:after="0"/>
              <w:rPr>
                <w:sz w:val="20"/>
                <w:szCs w:val="20"/>
                <w:color w:val="auto"/>
              </w:rPr>
            </w:pPr>
            <w:r>
              <w:rPr>
                <w:rFonts w:ascii="Arial" w:cs="Arial" w:eastAsia="Arial" w:hAnsi="Arial"/>
                <w:sz w:val="18"/>
                <w:szCs w:val="18"/>
                <w:color w:val="auto"/>
                <w:w w:val="90"/>
              </w:rPr>
              <w:t>US Dollars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Dollars</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13.9787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OD Colombia, S. A. S.</w:t>
            </w:r>
          </w:p>
        </w:tc>
        <w:tc>
          <w:tcPr>
            <w:tcW w:w="2640" w:type="dxa"/>
            <w:vAlign w:val="bottom"/>
          </w:tcPr>
          <w:p>
            <w:pPr>
              <w:jc w:val="center"/>
              <w:ind w:left="874"/>
              <w:spacing w:after="0"/>
              <w:rPr>
                <w:sz w:val="20"/>
                <w:szCs w:val="20"/>
                <w:color w:val="auto"/>
              </w:rPr>
            </w:pPr>
            <w:r>
              <w:rPr>
                <w:rFonts w:ascii="Arial" w:cs="Arial" w:eastAsia="Arial" w:hAnsi="Arial"/>
                <w:sz w:val="18"/>
                <w:szCs w:val="18"/>
                <w:color w:val="auto"/>
                <w:w w:val="86"/>
              </w:rPr>
              <w:t>Colombian pesos</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Colombian pesos</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0.00719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Ofixpres, S. A. S.</w:t>
            </w:r>
          </w:p>
        </w:tc>
        <w:tc>
          <w:tcPr>
            <w:tcW w:w="26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86"/>
              </w:rPr>
              <w:t>Colombian pesos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Colombian pesos</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0.00719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92" w:right="20" w:hanging="446"/>
        <w:spacing w:after="0" w:line="256" w:lineRule="auto"/>
        <w:tabs>
          <w:tab w:leader="none" w:pos="892" w:val="left"/>
        </w:tabs>
        <w:numPr>
          <w:ilvl w:val="1"/>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i w:val="1"/>
          <w:iCs w:val="1"/>
          <w:color w:val="auto"/>
        </w:rPr>
        <w:t>—</w:t>
      </w:r>
      <w:r>
        <w:rPr>
          <w:rFonts w:ascii="Arial" w:cs="Arial" w:eastAsia="Arial" w:hAnsi="Arial"/>
          <w:sz w:val="18"/>
          <w:szCs w:val="18"/>
          <w:color w:val="auto"/>
        </w:rPr>
        <w:t>Represents changes in stockholders’ equity during the year, for concepts other than distributions and activity in contributed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is comprised of the net income of the year, plus other comprehensive income items of the same period, which are presented directly in stockholders’ equity without affecting the consolidated statements of income. Other comprehensive income is represented solely by the translation effects of operations of foreign entities.</w:t>
      </w:r>
    </w:p>
    <w:p>
      <w:pPr>
        <w:spacing w:after="0" w:line="62"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Classification of costs and expenses</w:t>
      </w:r>
      <w:r>
        <w:rPr>
          <w:rFonts w:ascii="Arial" w:cs="Arial" w:eastAsia="Arial" w:hAnsi="Arial"/>
          <w:sz w:val="18"/>
          <w:szCs w:val="18"/>
          <w:color w:val="auto"/>
        </w:rPr>
        <w:t>—Costs and expenses presented in the consolidated statements of income were classified according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Consequently, cost of sales is presented separately from the other costs and expenses.</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have been prepared in conformity with MFRS, which require that management make certain estimates and use certain assumptions that affect the amounts reported in the consolidated financial statements and their related disclosures; however, actual results may differ from such estimates. The Company’s management, upon applying professional judgment, considers that estimates made and assumptions used were adequate under the circumstances. The significant accounting policies of the Company are as follows:</w:t>
      </w:r>
    </w:p>
    <w:p>
      <w:pPr>
        <w:spacing w:after="0" w:line="31" w:lineRule="exact"/>
        <w:rPr>
          <w:rFonts w:ascii="Arial" w:cs="Arial" w:eastAsia="Arial" w:hAnsi="Arial"/>
          <w:sz w:val="18"/>
          <w:szCs w:val="18"/>
          <w:b w:val="1"/>
          <w:bCs w:val="1"/>
          <w:color w:val="auto"/>
        </w:rPr>
      </w:pPr>
    </w:p>
    <w:p>
      <w:pPr>
        <w:ind w:left="892" w:hanging="446"/>
        <w:spacing w:after="0"/>
        <w:tabs>
          <w:tab w:leader="none" w:pos="892" w:val="left"/>
        </w:tabs>
        <w:numPr>
          <w:ilvl w:val="1"/>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Accounting changes -</w:t>
      </w:r>
    </w:p>
    <w:p>
      <w:pPr>
        <w:spacing w:after="0" w:line="90" w:lineRule="exact"/>
        <w:rPr>
          <w:sz w:val="20"/>
          <w:szCs w:val="20"/>
          <w:color w:val="auto"/>
        </w:rPr>
      </w:pPr>
    </w:p>
    <w:p>
      <w:pPr>
        <w:ind w:left="912" w:right="100"/>
        <w:spacing w:after="0" w:line="268" w:lineRule="auto"/>
        <w:rPr>
          <w:sz w:val="20"/>
          <w:szCs w:val="20"/>
          <w:color w:val="auto"/>
        </w:rPr>
      </w:pPr>
      <w:r>
        <w:rPr>
          <w:rFonts w:ascii="Arial" w:cs="Arial" w:eastAsia="Arial" w:hAnsi="Arial"/>
          <w:sz w:val="18"/>
          <w:szCs w:val="18"/>
          <w:color w:val="auto"/>
        </w:rPr>
        <w:t>Beginning January 1, 2011, the Company adopted the following new NIFs, the adoption of which did not have material effects in the accompanying consolidated financial statements:</w:t>
      </w:r>
    </w:p>
    <w:p>
      <w:pPr>
        <w:spacing w:after="0" w:line="132" w:lineRule="exact"/>
        <w:rPr>
          <w:sz w:val="20"/>
          <w:szCs w:val="20"/>
          <w:color w:val="auto"/>
        </w:rPr>
      </w:pPr>
    </w:p>
    <w:p>
      <w:pPr>
        <w:ind w:left="1492" w:right="60"/>
        <w:spacing w:after="0" w:line="286" w:lineRule="auto"/>
        <w:rPr>
          <w:sz w:val="20"/>
          <w:szCs w:val="20"/>
          <w:color w:val="auto"/>
        </w:rPr>
      </w:pPr>
      <w:r>
        <w:rPr>
          <w:rFonts w:ascii="Arial" w:cs="Arial" w:eastAsia="Arial" w:hAnsi="Arial"/>
          <w:sz w:val="16"/>
          <w:szCs w:val="16"/>
          <w:color w:val="auto"/>
        </w:rPr>
        <w:t xml:space="preserve">NIF C-4, </w:t>
      </w:r>
      <w:r>
        <w:rPr>
          <w:rFonts w:ascii="Arial" w:cs="Arial" w:eastAsia="Arial" w:hAnsi="Arial"/>
          <w:sz w:val="16"/>
          <w:szCs w:val="16"/>
          <w:i w:val="1"/>
          <w:iCs w:val="1"/>
          <w:color w:val="auto"/>
        </w:rPr>
        <w:t>Inventories—</w:t>
      </w:r>
      <w:r>
        <w:rPr>
          <w:rFonts w:ascii="Arial" w:cs="Arial" w:eastAsia="Arial" w:hAnsi="Arial"/>
          <w:sz w:val="16"/>
          <w:szCs w:val="16"/>
          <w:color w:val="auto"/>
        </w:rPr>
        <w:t>This standard eliminates direct costing as a permitted method of costing and eliminates the last-in first-out method as a technique for the measurement of cost. The standard also amended inventory valuation to be the lower of cost or market where market value is represented by net realizable value. This standard also sets rules for valuing inventory of service providers. This standard clarifies that, for inventory acquisitions in installments, the difference between the cost of inventory under normal credit terms and the actual amount paid, be recognized as a financial cost during the financing period. The standard also permits the reversal previous inventory impairment losses against current earnings of the period in which the change in estimate is determined. It also requires disclosure of the amount of inventories recognized in results of the period when cost of sales includes other elements, when a portion of cost of sales is included within discontinued operations, or when the statement of income is classified according to the nature of revenues and expenses, such that a cost of sales line item is not presented. The standard also requires disclosure of the amount of impairment losses on inventories recognized as a cost of the period. It also requires that any change in the cost allocation method be treated as an accounting change. Additionally, it requires that advances to suppliers be recognized as inventories on upon the time when the risks and benefits of ownership are transferred to the Company.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217" w:name="page218"/>
    <w:bookmarkEnd w:id="217"/>
    <w:p>
      <w:pPr>
        <w:ind w:left="104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NIF C-5, </w:t>
      </w:r>
      <w:r>
        <w:rPr>
          <w:rFonts w:ascii="Arial" w:cs="Arial" w:eastAsia="Arial" w:hAnsi="Arial"/>
          <w:sz w:val="18"/>
          <w:szCs w:val="18"/>
          <w:i w:val="1"/>
          <w:iCs w:val="1"/>
          <w:color w:val="auto"/>
        </w:rPr>
        <w:t>Advance Payments</w:t>
      </w:r>
      <w:r>
        <w:rPr>
          <w:rFonts w:ascii="Arial" w:cs="Arial" w:eastAsia="Arial" w:hAnsi="Arial"/>
          <w:sz w:val="18"/>
          <w:szCs w:val="18"/>
          <w:color w:val="auto"/>
        </w:rPr>
        <w:t>—This standard establishes that a basic feature of advance payments is the fact that they do not transfer the risks and rewards of the ownership of goods and services to the Company. Therefore, advances for the purchase of inventories or property, plant and equipment, among others, must be presented separately from inventory or property, plant and equipment if the risks and rewards of ownership of those goods have not transferred to the Company. The standard requires that advance payments be impaired when they lose their ability to generate future economic benefits. This standard also requires classification of advance payments as current or noncurrent, depending on their nature.</w:t>
      </w:r>
    </w:p>
    <w:p>
      <w:pPr>
        <w:spacing w:after="0" w:line="144" w:lineRule="exact"/>
        <w:rPr>
          <w:sz w:val="20"/>
          <w:szCs w:val="20"/>
          <w:color w:val="auto"/>
        </w:rPr>
      </w:pPr>
    </w:p>
    <w:p>
      <w:pPr>
        <w:ind w:left="1046"/>
        <w:spacing w:after="0" w:line="288" w:lineRule="auto"/>
        <w:rPr>
          <w:sz w:val="20"/>
          <w:szCs w:val="20"/>
          <w:color w:val="auto"/>
        </w:rPr>
      </w:pPr>
      <w:r>
        <w:rPr>
          <w:rFonts w:ascii="Arial" w:cs="Arial" w:eastAsia="Arial" w:hAnsi="Arial"/>
          <w:sz w:val="16"/>
          <w:szCs w:val="16"/>
          <w:color w:val="auto"/>
        </w:rPr>
        <w:t xml:space="preserve">NIF C-6,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—This standard included within its scope property, plant and equipment used to develop or maintain biological assets as well as those of extractive industries. The standard also includes guidance with respect to the treatment of non-monetary exchanges with economic substance. The standard includes the basis for determining the residual value of a component, that being the amount that could be obtained currently from the disposal of the asset, assuming it is of the age and in the condition expected at the end of its useful life. The standard eliminates the requirement to record, at an appraised value, property, plant and equipment which was acquired at no cost or at a minimal cost that does not adequately represent the economic significance of the asset. The standard also establishes the obligation to separately depreciate significant components of an item of property, plant and equipment. This provision of the standard will be effective on January 1, 2012. Finally, the standard establishes a requirement to continue depreciating a component when it is not in use, except when depreciation methods are based on usage.</w:t>
      </w:r>
    </w:p>
    <w:p>
      <w:pPr>
        <w:spacing w:after="0" w:line="120" w:lineRule="exact"/>
        <w:rPr>
          <w:sz w:val="20"/>
          <w:szCs w:val="20"/>
          <w:color w:val="auto"/>
        </w:rPr>
      </w:pPr>
    </w:p>
    <w:p>
      <w:pPr>
        <w:ind w:left="1046"/>
        <w:spacing w:after="0"/>
        <w:rPr>
          <w:sz w:val="20"/>
          <w:szCs w:val="20"/>
          <w:color w:val="auto"/>
        </w:rPr>
      </w:pPr>
      <w:r>
        <w:rPr>
          <w:rFonts w:ascii="Arial" w:cs="Arial" w:eastAsia="Arial" w:hAnsi="Arial"/>
          <w:sz w:val="16"/>
          <w:szCs w:val="16"/>
          <w:i w:val="1"/>
          <w:iCs w:val="1"/>
          <w:color w:val="auto"/>
        </w:rPr>
        <w:t>Improvements to Mexican Financial Reporting Standards 2011</w:t>
      </w:r>
      <w:r>
        <w:rPr>
          <w:rFonts w:ascii="Arial" w:cs="Arial" w:eastAsia="Arial" w:hAnsi="Arial"/>
          <w:sz w:val="16"/>
          <w:szCs w:val="16"/>
          <w:color w:val="auto"/>
        </w:rPr>
        <w:t>—The main improvements generating accounting changes beginning</w:t>
      </w:r>
    </w:p>
    <w:p>
      <w:pPr>
        <w:spacing w:after="0" w:line="38"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January 1, 2011 are as follows:</w:t>
      </w:r>
    </w:p>
    <w:p>
      <w:pPr>
        <w:spacing w:after="0" w:line="165" w:lineRule="exact"/>
        <w:rPr>
          <w:sz w:val="20"/>
          <w:szCs w:val="20"/>
          <w:color w:val="auto"/>
        </w:rPr>
      </w:pPr>
    </w:p>
    <w:p>
      <w:pPr>
        <w:ind w:left="1046" w:right="100"/>
        <w:spacing w:after="0" w:line="332" w:lineRule="auto"/>
        <w:rPr>
          <w:sz w:val="20"/>
          <w:szCs w:val="20"/>
          <w:color w:val="auto"/>
        </w:rPr>
      </w:pPr>
      <w:r>
        <w:rPr>
          <w:rFonts w:ascii="Arial" w:cs="Arial" w:eastAsia="Arial" w:hAnsi="Arial"/>
          <w:sz w:val="16"/>
          <w:szCs w:val="16"/>
          <w:color w:val="auto"/>
        </w:rPr>
        <w:t xml:space="preserve">Bulletin C-3, </w:t>
      </w:r>
      <w:r>
        <w:rPr>
          <w:rFonts w:ascii="Arial" w:cs="Arial" w:eastAsia="Arial" w:hAnsi="Arial"/>
          <w:sz w:val="16"/>
          <w:szCs w:val="16"/>
          <w:i w:val="1"/>
          <w:iCs w:val="1"/>
          <w:color w:val="auto"/>
        </w:rPr>
        <w:t>Accounts Receivable</w:t>
      </w:r>
      <w:r>
        <w:rPr>
          <w:rFonts w:ascii="Arial" w:cs="Arial" w:eastAsia="Arial" w:hAnsi="Arial"/>
          <w:sz w:val="16"/>
          <w:szCs w:val="16"/>
          <w:color w:val="auto"/>
        </w:rPr>
        <w:t>—The improvement to this Bulletin includes standards for the recognition of interest income on accounts receivable, and clarifies that recognition of accrued interest income on receivables whose collection is doubtful is prohibited.</w:t>
      </w:r>
    </w:p>
    <w:p>
      <w:pPr>
        <w:spacing w:after="0" w:line="85" w:lineRule="exact"/>
        <w:rPr>
          <w:sz w:val="20"/>
          <w:szCs w:val="20"/>
          <w:color w:val="auto"/>
        </w:rPr>
      </w:pPr>
    </w:p>
    <w:p>
      <w:pPr>
        <w:ind w:left="1046" w:right="100"/>
        <w:spacing w:after="0" w:line="286" w:lineRule="auto"/>
        <w:rPr>
          <w:sz w:val="20"/>
          <w:szCs w:val="20"/>
          <w:color w:val="auto"/>
        </w:rPr>
      </w:pPr>
      <w:r>
        <w:rPr>
          <w:rFonts w:ascii="Arial" w:cs="Arial" w:eastAsia="Arial" w:hAnsi="Arial"/>
          <w:sz w:val="16"/>
          <w:szCs w:val="16"/>
          <w:color w:val="auto"/>
        </w:rPr>
        <w:t xml:space="preserve">Bulletin D-5, </w:t>
      </w:r>
      <w:r>
        <w:rPr>
          <w:rFonts w:ascii="Arial" w:cs="Arial" w:eastAsia="Arial" w:hAnsi="Arial"/>
          <w:sz w:val="16"/>
          <w:szCs w:val="16"/>
          <w:i w:val="1"/>
          <w:iCs w:val="1"/>
          <w:color w:val="auto"/>
        </w:rPr>
        <w:t>Leases</w:t>
      </w:r>
      <w:r>
        <w:rPr>
          <w:rFonts w:ascii="Arial" w:cs="Arial" w:eastAsia="Arial" w:hAnsi="Arial"/>
          <w:sz w:val="16"/>
          <w:szCs w:val="16"/>
          <w:color w:val="auto"/>
        </w:rPr>
        <w:t>—The improvement to this Bulletin removes the obligation to determine the incremental interest rate when the implicit rate is too low; consequently, it establishes that the discount rate to be used by the lessor to determine the present value of minimum lease payment should be the implicit interest rate of the lease agreement, if it can be easily determined. If the implicit rate cannot be easily determined, then the incremental interest rate should be used. The improvement also requires more detailed disclosures by both lessors and lessees. As well, the improvement requires that when a gain or loss on the sale in a sale and leaseback transaction is deferred, it should be amortized over the term of the agreement and not in proportion to the depreciation of the leased asset. The gain or loss on the sale in a sale and leaseback transaction involving an operating lease should be recognized in results at the time of sale, provided that the transaction is established at fair value. If the sale price is below the carrying value of the asset, the result should be recognized immediately in current earnings, unless the loss is offset by future payments that are below the market price of the lease, in which case the loss should be deferred and amortized over the term of the agreement. If the sale price is greater than the carrying value of the asset, the excess should be deferred and amortized over the term of agreement.</w:t>
      </w:r>
    </w:p>
    <w:p>
      <w:pPr>
        <w:spacing w:after="0" w:line="46" w:lineRule="exact"/>
        <w:rPr>
          <w:sz w:val="20"/>
          <w:szCs w:val="20"/>
          <w:color w:val="auto"/>
        </w:rPr>
      </w:pPr>
    </w:p>
    <w:p>
      <w:pPr>
        <w:ind w:left="446" w:hanging="446"/>
        <w:spacing w:after="0" w:line="254"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Recognition of the effects of inflation</w:t>
      </w:r>
      <w:r>
        <w:rPr>
          <w:rFonts w:ascii="Arial" w:cs="Arial" w:eastAsia="Arial" w:hAnsi="Arial"/>
          <w:sz w:val="18"/>
          <w:szCs w:val="18"/>
          <w:i w:val="1"/>
          <w:iCs w:val="1"/>
          <w:color w:val="auto"/>
        </w:rPr>
        <w:t>—</w:t>
      </w:r>
      <w:r>
        <w:rPr>
          <w:rFonts w:ascii="Arial" w:cs="Arial" w:eastAsia="Arial" w:hAnsi="Arial"/>
          <w:sz w:val="18"/>
          <w:szCs w:val="18"/>
          <w:color w:val="auto"/>
        </w:rPr>
        <w:t>Beginning on January 1, 2008, the Company discontinued recognition of the effects of inflation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those entities that do not operate in an inflationary environment, as that term is defined in MFRS. However, assets and stockholders’ equity include the restatement effects recognized by those entities through December 31, 2007. The cumulative inflation rate in Mexico for the three fiscal years prior to those ended December 31, 2011, 2010 and 2009 was 12.26%, 15.19% and 14.48%, respectively, for which reason the economic environment continued to be considered non-inflationary in all periods. Inflation rates for the years ended 2011, 2010 and 2009 were 3.82%, 4.40% and 3.57%, respectively.</w:t>
      </w:r>
    </w:p>
    <w:p>
      <w:pPr>
        <w:spacing w:after="0" w:line="144" w:lineRule="exact"/>
        <w:rPr>
          <w:sz w:val="20"/>
          <w:szCs w:val="20"/>
          <w:color w:val="auto"/>
        </w:rPr>
      </w:pPr>
    </w:p>
    <w:p>
      <w:pPr>
        <w:jc w:val="center"/>
        <w:ind w:right="354"/>
        <w:spacing w:after="0" w:line="440" w:lineRule="auto"/>
        <w:rPr>
          <w:sz w:val="20"/>
          <w:szCs w:val="20"/>
          <w:color w:val="auto"/>
        </w:rPr>
      </w:pPr>
      <w:r>
        <w:rPr>
          <w:rFonts w:ascii="Arial" w:cs="Arial" w:eastAsia="Arial" w:hAnsi="Arial"/>
          <w:sz w:val="18"/>
          <w:szCs w:val="18"/>
          <w:color w:val="auto"/>
        </w:rPr>
        <w:t>For those entities that operate in an inflationary environment, the Company continues to recognize the comprehensive effects of inflation. 10</w:t>
      </w:r>
    </w:p>
    <w:p>
      <w:pPr>
        <w:sectPr>
          <w:pgSz w:w="11900" w:h="16838" w:orient="portrait"/>
          <w:cols w:equalWidth="0" w:num="1">
            <w:col w:w="10946"/>
          </w:cols>
          <w:pgMar w:left="694" w:top="280" w:right="259" w:bottom="1440" w:gutter="0" w:footer="0" w:header="0"/>
        </w:sectPr>
      </w:pPr>
    </w:p>
    <w:bookmarkStart w:id="218" w:name="page219"/>
    <w:bookmarkEnd w:id="218"/>
    <w:p>
      <w:pPr>
        <w:spacing w:after="0" w:line="217" w:lineRule="auto"/>
        <w:framePr w:w="9100" w:h="156" w:wrap="auto" w:vAnchor="page" w:hAnchor="page" w:x="1120" w:y="4886"/>
        <w:rPr>
          <w:rFonts w:ascii="Arial" w:cs="Arial" w:eastAsia="Arial" w:hAnsi="Arial"/>
          <w:sz w:val="15"/>
          <w:szCs w:val="15"/>
          <w:color w:val="auto"/>
        </w:rPr>
      </w:pPr>
      <w:r>
        <w:rPr>
          <w:rFonts w:ascii="Arial" w:cs="Arial" w:eastAsia="Arial" w:hAnsi="Arial"/>
          <w:sz w:val="15"/>
          <w:szCs w:val="15"/>
          <w:color w:val="auto"/>
        </w:rPr>
        <w:t>The useful lives of fixed assets are reviewed at least annually to determine whether events and circumstances warrant a revision.</w:t>
      </w:r>
    </w:p>
    <w:p>
      <w:pPr>
        <w:spacing w:after="0" w:line="286" w:lineRule="auto"/>
        <w:framePr w:w="200" w:h="156" w:wrap="auto" w:vAnchor="page" w:hAnchor="page" w:x="660" w:y="5183"/>
        <w:rPr>
          <w:rFonts w:ascii="Arial" w:cs="Arial" w:eastAsia="Arial" w:hAnsi="Arial"/>
          <w:sz w:val="18"/>
          <w:szCs w:val="18"/>
          <w:color w:val="auto"/>
        </w:rPr>
      </w:pPr>
      <w:r>
        <w:rPr>
          <w:rFonts w:ascii="Arial" w:cs="Arial" w:eastAsia="Arial" w:hAnsi="Arial"/>
          <w:sz w:val="18"/>
          <w:szCs w:val="18"/>
          <w:color w:val="auto"/>
        </w:rPr>
        <w:t>g.</w:t>
      </w:r>
    </w:p>
    <w:p>
      <w:pPr>
        <w:spacing w:after="0" w:line="286" w:lineRule="auto"/>
        <w:framePr w:w="10500" w:h="1237" w:wrap="auto" w:vAnchor="page" w:hAnchor="page" w:x="1100" w:y="5183"/>
        <w:rPr>
          <w:rFonts w:ascii="Arial" w:cs="Arial" w:eastAsia="Arial" w:hAnsi="Arial"/>
          <w:sz w:val="15"/>
          <w:szCs w:val="15"/>
          <w:color w:val="auto"/>
        </w:rPr>
      </w:pPr>
      <w:r>
        <w:rPr>
          <w:rFonts w:ascii="Arial" w:cs="Arial" w:eastAsia="Arial" w:hAnsi="Arial"/>
          <w:sz w:val="15"/>
          <w:szCs w:val="15"/>
          <w:b w:val="1"/>
          <w:bCs w:val="1"/>
          <w:i w:val="1"/>
          <w:iCs w:val="1"/>
          <w:color w:val="auto"/>
        </w:rPr>
        <w:t>Impairment of long-lived assets in use</w:t>
      </w:r>
      <w:r>
        <w:rPr>
          <w:rFonts w:ascii="Arial" w:cs="Arial" w:eastAsia="Arial" w:hAnsi="Arial"/>
          <w:sz w:val="15"/>
          <w:szCs w:val="15"/>
          <w:color w:val="auto"/>
        </w:rPr>
        <w:t>—The Company reviews the carrying amounts of long-lived asset in use, other than goodwill and intangible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assets with indefinite useful lives, when an impairment indicator suggests that such amounts might not be recoverable, considering the greater of the present value of future net cash flows or the net sales price upon disposal. Impairment is recorded when the carrying amounts exceed the greater of the aforementioned amounts. Impairment indicators considered for these purposes are, among others, operating losses or negative cash flows in the period if they are combined with a history or projection of losses, depreciation and amortization charged to results, which in percentage terms in relation to revenues are substantially higher than that of previous years, obsolescence, competition and other legal and economic factors.</w:t>
      </w:r>
    </w:p>
    <w:p>
      <w:pPr>
        <w:spacing w:after="0" w:line="262" w:lineRule="auto"/>
        <w:framePr w:w="200" w:h="156" w:wrap="auto" w:vAnchor="page" w:hAnchor="page" w:x="660" w:y="6561"/>
        <w:rPr>
          <w:rFonts w:ascii="Arial" w:cs="Arial" w:eastAsia="Arial" w:hAnsi="Arial"/>
          <w:sz w:val="18"/>
          <w:szCs w:val="18"/>
          <w:color w:val="auto"/>
        </w:rPr>
      </w:pPr>
      <w:r>
        <w:rPr>
          <w:rFonts w:ascii="Arial" w:cs="Arial" w:eastAsia="Arial" w:hAnsi="Arial"/>
          <w:sz w:val="18"/>
          <w:szCs w:val="18"/>
          <w:color w:val="auto"/>
        </w:rPr>
        <w:t>h.</w:t>
      </w:r>
    </w:p>
    <w:p>
      <w:pPr>
        <w:spacing w:after="0" w:line="262" w:lineRule="auto"/>
        <w:framePr w:w="10500" w:h="805" w:wrap="auto" w:vAnchor="page" w:hAnchor="page" w:x="1100" w:y="6561"/>
        <w:rPr>
          <w:rFonts w:ascii="Arial" w:cs="Arial" w:eastAsia="Arial" w:hAnsi="Arial"/>
          <w:sz w:val="16"/>
          <w:szCs w:val="16"/>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color w:val="auto"/>
        </w:rPr>
        <w:t>—Goodwill represents the excess of consideration paid over the fair value of the net assets acquired in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as of the date of acquisition. Through December 31, 2007, goodwill was restated for the effects of inflation using the NCPI. Intangible assets with indefinite useful lives are carried at cost. Goodwill and intangible assets with indefinite useful lives are not amortized and are subject to impairment tests at least once a year, based on the methodology described in Note 3.g above.</w:t>
      </w:r>
    </w:p>
    <w:p>
      <w:pPr>
        <w:spacing w:after="0" w:line="204" w:lineRule="auto"/>
        <w:framePr w:w="260" w:h="156" w:wrap="auto" w:vAnchor="page" w:hAnchor="page" w:x="5820" w:y="7574"/>
        <w:rPr>
          <w:rFonts w:ascii="Arial" w:cs="Arial" w:eastAsia="Arial" w:hAnsi="Arial"/>
          <w:sz w:val="16"/>
          <w:szCs w:val="16"/>
          <w:color w:val="auto"/>
        </w:rPr>
      </w:pPr>
      <w:r>
        <w:rPr>
          <w:rFonts w:ascii="Arial" w:cs="Arial" w:eastAsia="Arial" w:hAnsi="Arial"/>
          <w:sz w:val="16"/>
          <w:szCs w:val="16"/>
          <w:color w:val="auto"/>
        </w:rPr>
        <w:t>11</w:t>
      </w:r>
    </w:p>
    <w:p>
      <w:pPr>
        <w:spacing w:after="0" w:line="233" w:lineRule="auto"/>
        <w:framePr w:w="240" w:h="156" w:wrap="auto" w:vAnchor="page" w:hAnchor="page" w:x="9300" w:y="3644"/>
        <w:rPr>
          <w:rFonts w:ascii="Arial" w:cs="Arial" w:eastAsia="Arial" w:hAnsi="Arial"/>
          <w:sz w:val="14"/>
          <w:szCs w:val="14"/>
          <w:color w:val="auto"/>
        </w:rPr>
      </w:pPr>
      <w:r>
        <w:rPr>
          <w:rFonts w:ascii="Arial" w:cs="Arial" w:eastAsia="Arial" w:hAnsi="Arial"/>
          <w:sz w:val="14"/>
          <w:szCs w:val="14"/>
          <w:color w:val="auto"/>
        </w:rPr>
        <w:t>40</w:t>
      </w:r>
    </w:p>
    <w:p>
      <w:pPr>
        <w:spacing w:after="0" w:line="217" w:lineRule="auto"/>
        <w:framePr w:w="400" w:h="156" w:wrap="auto" w:vAnchor="page" w:hAnchor="page" w:x="9220" w:y="3860"/>
        <w:rPr>
          <w:rFonts w:ascii="Arial" w:cs="Arial" w:eastAsia="Arial" w:hAnsi="Arial"/>
          <w:sz w:val="15"/>
          <w:szCs w:val="15"/>
          <w:color w:val="auto"/>
        </w:rPr>
      </w:pPr>
      <w:r>
        <w:rPr>
          <w:rFonts w:ascii="Arial" w:cs="Arial" w:eastAsia="Arial" w:hAnsi="Arial"/>
          <w:sz w:val="15"/>
          <w:szCs w:val="15"/>
          <w:color w:val="auto"/>
        </w:rPr>
        <w:t>9-25</w:t>
      </w:r>
    </w:p>
    <w:p>
      <w:pPr>
        <w:spacing w:after="0" w:line="217" w:lineRule="auto"/>
        <w:framePr w:w="400" w:h="156" w:wrap="auto" w:vAnchor="page" w:hAnchor="page" w:x="9220" w:y="4076"/>
        <w:rPr>
          <w:rFonts w:ascii="Arial" w:cs="Arial" w:eastAsia="Arial" w:hAnsi="Arial"/>
          <w:sz w:val="15"/>
          <w:szCs w:val="15"/>
          <w:color w:val="auto"/>
        </w:rPr>
      </w:pPr>
      <w:r>
        <w:rPr>
          <w:rFonts w:ascii="Arial" w:cs="Arial" w:eastAsia="Arial" w:hAnsi="Arial"/>
          <w:sz w:val="15"/>
          <w:szCs w:val="15"/>
          <w:color w:val="auto"/>
        </w:rPr>
        <w:t>4-10</w:t>
      </w:r>
    </w:p>
    <w:p>
      <w:pPr>
        <w:spacing w:after="0" w:line="233" w:lineRule="auto"/>
        <w:framePr w:w="160" w:h="156" w:wrap="auto" w:vAnchor="page" w:hAnchor="page" w:x="9340" w:y="4292"/>
        <w:rPr>
          <w:rFonts w:ascii="Arial" w:cs="Arial" w:eastAsia="Arial" w:hAnsi="Arial"/>
          <w:sz w:val="14"/>
          <w:szCs w:val="14"/>
          <w:color w:val="auto"/>
        </w:rPr>
      </w:pPr>
      <w:r>
        <w:rPr>
          <w:rFonts w:ascii="Arial" w:cs="Arial" w:eastAsia="Arial" w:hAnsi="Arial"/>
          <w:sz w:val="14"/>
          <w:szCs w:val="14"/>
          <w:color w:val="auto"/>
        </w:rPr>
        <w:t>4</w:t>
      </w:r>
    </w:p>
    <w:p>
      <w:pPr>
        <w:spacing w:after="0" w:line="204" w:lineRule="auto"/>
        <w:framePr w:w="320" w:h="156" w:wrap="auto" w:vAnchor="page" w:hAnchor="page" w:x="9260" w:y="4508"/>
        <w:rPr>
          <w:rFonts w:ascii="Arial" w:cs="Arial" w:eastAsia="Arial" w:hAnsi="Arial"/>
          <w:sz w:val="16"/>
          <w:szCs w:val="16"/>
          <w:color w:val="auto"/>
        </w:rPr>
      </w:pPr>
      <w:r>
        <w:rPr>
          <w:rFonts w:ascii="Arial" w:cs="Arial" w:eastAsia="Arial" w:hAnsi="Arial"/>
          <w:sz w:val="16"/>
          <w:szCs w:val="16"/>
          <w:color w:val="auto"/>
        </w:rPr>
        <w:t>4-8</w:t>
      </w:r>
    </w:p>
    <w:p>
      <w:pPr>
        <w:spacing w:after="0" w:line="204" w:lineRule="auto"/>
        <w:framePr w:w="760" w:h="156" w:wrap="auto" w:vAnchor="page" w:hAnchor="page" w:x="2040" w:y="3644"/>
        <w:rPr>
          <w:rFonts w:ascii="Arial" w:cs="Arial" w:eastAsia="Arial" w:hAnsi="Arial"/>
          <w:sz w:val="16"/>
          <w:szCs w:val="16"/>
          <w:color w:val="auto"/>
        </w:rPr>
      </w:pPr>
      <w:r>
        <w:rPr>
          <w:rFonts w:ascii="Arial" w:cs="Arial" w:eastAsia="Arial" w:hAnsi="Arial"/>
          <w:sz w:val="16"/>
          <w:szCs w:val="16"/>
          <w:color w:val="auto"/>
        </w:rPr>
        <w:t>Buildings</w:t>
      </w:r>
    </w:p>
    <w:p>
      <w:pPr>
        <w:spacing w:after="0" w:line="255" w:lineRule="auto"/>
        <w:framePr w:w="1840" w:h="589" w:wrap="auto" w:vAnchor="page" w:hAnchor="page" w:x="2040" w:y="3860"/>
        <w:rPr>
          <w:rFonts w:ascii="Arial" w:cs="Arial" w:eastAsia="Arial" w:hAnsi="Arial"/>
          <w:sz w:val="16"/>
          <w:szCs w:val="16"/>
          <w:color w:val="auto"/>
        </w:rPr>
      </w:pPr>
      <w:r>
        <w:rPr>
          <w:rFonts w:ascii="Arial" w:cs="Arial" w:eastAsia="Arial" w:hAnsi="Arial"/>
          <w:sz w:val="16"/>
          <w:szCs w:val="16"/>
          <w:color w:val="auto"/>
        </w:rPr>
        <w:t>Leasehold improvements Furniture and fixtures Computers</w:t>
      </w:r>
    </w:p>
    <w:p>
      <w:pPr>
        <w:spacing w:after="0" w:line="217" w:lineRule="auto"/>
        <w:framePr w:w="680" w:h="156" w:wrap="auto" w:vAnchor="page" w:hAnchor="page" w:x="2040" w:y="4508"/>
        <w:rPr>
          <w:rFonts w:ascii="Arial" w:cs="Arial" w:eastAsia="Arial" w:hAnsi="Arial"/>
          <w:sz w:val="15"/>
          <w:szCs w:val="15"/>
          <w:color w:val="auto"/>
        </w:rPr>
      </w:pPr>
      <w:r>
        <w:rPr>
          <w:rFonts w:ascii="Arial" w:cs="Arial" w:eastAsia="Arial" w:hAnsi="Arial"/>
          <w:sz w:val="15"/>
          <w:szCs w:val="15"/>
          <w:color w:val="auto"/>
        </w:rPr>
        <w:t>Vehicles</w:t>
      </w:r>
    </w:p>
    <w:p>
      <w:pPr>
        <w:spacing w:after="0" w:line="272" w:lineRule="auto"/>
        <w:framePr w:w="200" w:h="156" w:wrap="auto" w:vAnchor="page" w:hAnchor="page" w:x="660" w:y="294"/>
        <w:rPr>
          <w:rFonts w:ascii="Arial" w:cs="Arial" w:eastAsia="Arial" w:hAnsi="Arial"/>
          <w:sz w:val="18"/>
          <w:szCs w:val="18"/>
          <w:color w:val="auto"/>
        </w:rPr>
      </w:pPr>
      <w:r>
        <w:rPr>
          <w:rFonts w:ascii="Arial" w:cs="Arial" w:eastAsia="Arial" w:hAnsi="Arial"/>
          <w:sz w:val="18"/>
          <w:szCs w:val="18"/>
          <w:color w:val="auto"/>
        </w:rPr>
        <w:t>c.</w:t>
      </w:r>
    </w:p>
    <w:p>
      <w:pPr>
        <w:spacing w:after="0" w:line="272" w:lineRule="auto"/>
        <w:framePr w:w="10560" w:h="589" w:wrap="auto" w:vAnchor="page" w:hAnchor="page" w:x="1100" w:y="294"/>
        <w:rPr>
          <w:rFonts w:ascii="Arial" w:cs="Arial" w:eastAsia="Arial" w:hAnsi="Arial"/>
          <w:sz w:val="15"/>
          <w:szCs w:val="15"/>
          <w:color w:val="auto"/>
        </w:rPr>
      </w:pPr>
      <w:r>
        <w:rPr>
          <w:rFonts w:ascii="Arial" w:cs="Arial" w:eastAsia="Arial" w:hAnsi="Arial"/>
          <w:sz w:val="15"/>
          <w:szCs w:val="15"/>
          <w:b w:val="1"/>
          <w:bCs w:val="1"/>
          <w:i w:val="1"/>
          <w:iCs w:val="1"/>
          <w:color w:val="auto"/>
        </w:rPr>
        <w:t>Cash and cash equivalents</w:t>
      </w:r>
      <w:r>
        <w:rPr>
          <w:rFonts w:ascii="Arial" w:cs="Arial" w:eastAsia="Arial" w:hAnsi="Arial"/>
          <w:sz w:val="15"/>
          <w:szCs w:val="15"/>
          <w:i w:val="1"/>
          <w:iCs w:val="1"/>
          <w:color w:val="auto"/>
        </w:rPr>
        <w:t>—</w:t>
      </w:r>
      <w:r>
        <w:rPr>
          <w:rFonts w:ascii="Arial" w:cs="Arial" w:eastAsia="Arial" w:hAnsi="Arial"/>
          <w:sz w:val="15"/>
          <w:szCs w:val="15"/>
          <w:color w:val="auto"/>
        </w:rPr>
        <w:t>Cash and cash equivalents consist mainly of bank deposits in checking accounts and readily available daily investments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cash surpluses. Cash and cash equivalents are stated at nominal value plus accrued yields, which are recognized in results as they accrue. The Company considers all short-term highly-liquid debt instruments purchased with an original maturity of three months or less to be cash equivalents.</w:t>
      </w:r>
    </w:p>
    <w:p>
      <w:pPr>
        <w:spacing w:after="0" w:line="262" w:lineRule="auto"/>
        <w:framePr w:w="200" w:h="156" w:wrap="auto" w:vAnchor="page" w:hAnchor="page" w:x="660" w:y="1024"/>
        <w:rPr>
          <w:rFonts w:ascii="Arial" w:cs="Arial" w:eastAsia="Arial" w:hAnsi="Arial"/>
          <w:sz w:val="18"/>
          <w:szCs w:val="18"/>
          <w:color w:val="auto"/>
        </w:rPr>
      </w:pPr>
      <w:r>
        <w:rPr>
          <w:rFonts w:ascii="Arial" w:cs="Arial" w:eastAsia="Arial" w:hAnsi="Arial"/>
          <w:sz w:val="18"/>
          <w:szCs w:val="18"/>
          <w:color w:val="auto"/>
        </w:rPr>
        <w:t>d.</w:t>
      </w:r>
    </w:p>
    <w:p>
      <w:pPr>
        <w:spacing w:after="0" w:line="262" w:lineRule="auto"/>
        <w:framePr w:w="10520" w:h="805" w:wrap="auto" w:vAnchor="page" w:hAnchor="page" w:x="1100" w:y="1024"/>
        <w:rPr>
          <w:rFonts w:ascii="Arial" w:cs="Arial" w:eastAsia="Arial" w:hAnsi="Arial"/>
          <w:sz w:val="16"/>
          <w:szCs w:val="16"/>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sells products to customers primarily in the retail trade in Mexico. The Company conducts periodic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evaluations of its customers’ financial condition and generally does not require collateral. The Company does not believe that significant risk of loss from a concentration of credit risk exists given the large number of customers that comprise its customer base and their geographical dispersion. The Company also believes that its potential credit risk is adequately covered by the allowance for doubtful accounts.</w:t>
      </w:r>
    </w:p>
    <w:p>
      <w:pPr>
        <w:spacing w:after="0" w:line="217" w:lineRule="auto"/>
        <w:framePr w:w="200" w:h="156" w:wrap="auto" w:vAnchor="page" w:hAnchor="page" w:x="660" w:y="1969"/>
        <w:rPr>
          <w:rFonts w:ascii="Arial" w:cs="Arial" w:eastAsia="Arial" w:hAnsi="Arial"/>
          <w:sz w:val="18"/>
          <w:szCs w:val="18"/>
          <w:color w:val="auto"/>
        </w:rPr>
      </w:pPr>
      <w:r>
        <w:rPr>
          <w:rFonts w:ascii="Arial" w:cs="Arial" w:eastAsia="Arial" w:hAnsi="Arial"/>
          <w:sz w:val="18"/>
          <w:szCs w:val="18"/>
          <w:color w:val="auto"/>
        </w:rPr>
        <w:t>e.</w:t>
      </w:r>
    </w:p>
    <w:p>
      <w:pPr>
        <w:spacing w:after="0" w:line="217" w:lineRule="auto"/>
        <w:framePr w:w="10140" w:h="156" w:wrap="auto" w:vAnchor="page" w:hAnchor="page" w:x="1100" w:y="1969"/>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Inventories and cost of sales</w:t>
      </w:r>
      <w:r>
        <w:rPr>
          <w:rFonts w:ascii="Arial" w:cs="Arial" w:eastAsia="Arial" w:hAnsi="Arial"/>
          <w:sz w:val="15"/>
          <w:szCs w:val="15"/>
          <w:i w:val="1"/>
          <w:iCs w:val="1"/>
          <w:color w:val="auto"/>
        </w:rPr>
        <w:t>—</w:t>
      </w:r>
      <w:r>
        <w:rPr>
          <w:rFonts w:ascii="Arial" w:cs="Arial" w:eastAsia="Arial" w:hAnsi="Arial"/>
          <w:sz w:val="15"/>
          <w:szCs w:val="15"/>
          <w:color w:val="auto"/>
        </w:rPr>
        <w:t>Inventories are stated at the lower of cost or realizable value. Cost is determined using the average cost method.</w:t>
      </w:r>
    </w:p>
    <w:p>
      <w:pPr>
        <w:spacing w:after="0" w:line="227" w:lineRule="auto"/>
        <w:framePr w:w="180" w:h="156" w:wrap="auto" w:vAnchor="page" w:hAnchor="page" w:x="660" w:y="2266"/>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w:t>
      </w:r>
    </w:p>
    <w:p>
      <w:pPr>
        <w:spacing w:after="0" w:line="227" w:lineRule="auto"/>
        <w:framePr w:w="10560" w:h="589" w:wrap="auto" w:vAnchor="page" w:hAnchor="page" w:x="1100" w:y="2266"/>
        <w:rPr>
          <w:rFonts w:ascii="Arial" w:cs="Arial" w:eastAsia="Arial" w:hAnsi="Arial"/>
          <w:sz w:val="18"/>
          <w:szCs w:val="18"/>
          <w:color w:val="auto"/>
        </w:rPr>
      </w:pPr>
      <w:r>
        <w:rPr>
          <w:rFonts w:ascii="Arial" w:cs="Arial" w:eastAsia="Arial" w:hAnsi="Arial"/>
          <w:sz w:val="18"/>
          <w:szCs w:val="18"/>
          <w:b w:val="1"/>
          <w:bCs w:val="1"/>
          <w:i w:val="1"/>
          <w:iCs w:val="1"/>
          <w:color w:val="auto"/>
        </w:rPr>
        <w:t>Property, equipment and leasehold improvements</w:t>
      </w:r>
      <w:r>
        <w:rPr>
          <w:rFonts w:ascii="Arial" w:cs="Arial" w:eastAsia="Arial" w:hAnsi="Arial"/>
          <w:sz w:val="18"/>
          <w:szCs w:val="18"/>
          <w:i w:val="1"/>
          <w:iCs w:val="1"/>
          <w:color w:val="auto"/>
        </w:rPr>
        <w:t>—</w:t>
      </w:r>
      <w:r>
        <w:rPr>
          <w:rFonts w:ascii="Arial" w:cs="Arial" w:eastAsia="Arial" w:hAnsi="Arial"/>
          <w:sz w:val="18"/>
          <w:szCs w:val="18"/>
          <w:color w:val="auto"/>
        </w:rPr>
        <w:t>Property, equipment and leasehold improvements are recorded at acquisition cost. Balances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acquisitions made through December 31, 2007, were restated for the effects of inflation by applying factors derived from the NCPI through that date.</w:t>
      </w:r>
    </w:p>
    <w:p>
      <w:pPr>
        <w:spacing w:after="0" w:line="217" w:lineRule="auto"/>
        <w:framePr w:w="8100" w:h="156" w:wrap="auto" w:vAnchor="page" w:hAnchor="page" w:x="1120" w:y="3076"/>
        <w:rPr>
          <w:rFonts w:ascii="Arial" w:cs="Arial" w:eastAsia="Arial" w:hAnsi="Arial"/>
          <w:sz w:val="15"/>
          <w:szCs w:val="15"/>
          <w:color w:val="auto"/>
        </w:rPr>
      </w:pPr>
      <w:r>
        <w:rPr>
          <w:rFonts w:ascii="Arial" w:cs="Arial" w:eastAsia="Arial" w:hAnsi="Arial"/>
          <w:sz w:val="15"/>
          <w:szCs w:val="15"/>
          <w:color w:val="auto"/>
        </w:rPr>
        <w:t>Depreciation is calculated using the straight-line method based on the useful lives of the related assets, as follows:</w:t>
      </w:r>
    </w:p>
    <w:p>
      <w:pPr>
        <w:spacing w:after="0" w:line="228" w:lineRule="auto"/>
        <w:framePr w:w="880" w:h="120" w:wrap="auto" w:vAnchor="page" w:hAnchor="page" w:x="8980" w:y="3491"/>
        <w:rPr>
          <w:rFonts w:ascii="Arial" w:cs="Arial" w:eastAsia="Arial" w:hAnsi="Arial"/>
          <w:sz w:val="11"/>
          <w:szCs w:val="11"/>
          <w:b w:val="1"/>
          <w:bCs w:val="1"/>
          <w:color w:val="auto"/>
        </w:rPr>
      </w:pPr>
      <w:r>
        <w:rPr>
          <w:rFonts w:ascii="Arial" w:cs="Arial" w:eastAsia="Arial" w:hAnsi="Arial"/>
          <w:sz w:val="11"/>
          <w:szCs w:val="11"/>
          <w:b w:val="1"/>
          <w:bCs w:val="1"/>
          <w:color w:val="auto"/>
        </w:rPr>
        <w:t>Average years</w:t>
      </w:r>
    </w:p>
    <w:p>
      <w:pPr>
        <w:spacing w:after="0" w:line="228" w:lineRule="auto"/>
        <w:rPr>
          <w:rFonts w:ascii="Arial" w:cs="Arial" w:eastAsia="Arial" w:hAnsi="Arial"/>
          <w:sz w:val="11"/>
          <w:szCs w:val="11"/>
          <w:b w:val="1"/>
          <w:bCs w:val="1"/>
          <w:color w:val="auto"/>
        </w:rPr>
        <w:sectPr>
          <w:pgSz w:w="11900" w:h="16838" w:orient="portrait"/>
          <w:cols w:equalWidth="1" w:num="1" w:space="0"/>
          <w:pgMar w:left="1440" w:top="1440" w:right="1440" w:bottom="875" w:gutter="0" w:footer="0" w:header="0"/>
        </w:sect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1323975</wp:posOffset>
            </wp:positionH>
            <wp:positionV relativeFrom="page">
              <wp:posOffset>2310130</wp:posOffset>
            </wp:positionV>
            <wp:extent cx="49225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page">
              <wp:posOffset>1323975</wp:posOffset>
            </wp:positionH>
            <wp:positionV relativeFrom="page">
              <wp:posOffset>2584450</wp:posOffset>
            </wp:positionV>
            <wp:extent cx="49225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page">
              <wp:posOffset>1323975</wp:posOffset>
            </wp:positionH>
            <wp:positionV relativeFrom="page">
              <wp:posOffset>2858770</wp:posOffset>
            </wp:positionV>
            <wp:extent cx="49225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bookmarkStart w:id="219" w:name="page220"/>
    <w:bookmarkEnd w:id="219"/>
    <w:p>
      <w:pPr>
        <w:ind w:left="466"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amortizes the cost of its intangible assets with definite useful lives over such estimated useful lives. These lives are reviewed at least annually to determine whether events and circumstances warrant a revision. Useful lives are as follows:</w:t>
      </w:r>
    </w:p>
    <w:p>
      <w:pPr>
        <w:spacing w:after="0" w:line="160" w:lineRule="exact"/>
        <w:rPr>
          <w:sz w:val="20"/>
          <w:szCs w:val="20"/>
          <w:color w:val="auto"/>
        </w:rPr>
      </w:pPr>
    </w:p>
    <w:tbl>
      <w:tblPr>
        <w:tblLayout w:type="fixed"/>
        <w:tblInd w:w="1386"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160" w:type="dxa"/>
            <w:vAlign w:val="bottom"/>
          </w:tcPr>
          <w:p>
            <w:pPr>
              <w:ind w:left="2840"/>
              <w:spacing w:after="0"/>
              <w:rPr>
                <w:sz w:val="20"/>
                <w:szCs w:val="20"/>
                <w:color w:val="auto"/>
              </w:rPr>
            </w:pPr>
            <w:r>
              <w:rPr>
                <w:rFonts w:ascii="Arial" w:cs="Arial" w:eastAsia="Arial" w:hAnsi="Arial"/>
                <w:sz w:val="14"/>
                <w:szCs w:val="14"/>
                <w:b w:val="1"/>
                <w:bCs w:val="1"/>
                <w:color w:val="auto"/>
                <w:w w:val="78"/>
              </w:rPr>
              <w:t>Years</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Customer list</w:t>
            </w:r>
          </w:p>
        </w:tc>
        <w:tc>
          <w:tcPr>
            <w:tcW w:w="3160" w:type="dxa"/>
            <w:vAlign w:val="bottom"/>
          </w:tcPr>
          <w:p>
            <w:pPr>
              <w:jc w:val="right"/>
              <w:ind w:right="19"/>
              <w:spacing w:after="0"/>
              <w:rPr>
                <w:sz w:val="20"/>
                <w:szCs w:val="20"/>
                <w:color w:val="auto"/>
              </w:rPr>
            </w:pPr>
            <w:r>
              <w:rPr>
                <w:rFonts w:ascii="Arial" w:cs="Arial" w:eastAsia="Arial" w:hAnsi="Arial"/>
                <w:sz w:val="18"/>
                <w:szCs w:val="18"/>
                <w:color w:val="auto"/>
              </w:rPr>
              <w:t>5</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Non-compete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96" w:lineRule="exact"/>
        <w:rPr>
          <w:sz w:val="20"/>
          <w:szCs w:val="20"/>
          <w:color w:val="auto"/>
        </w:rPr>
      </w:pPr>
    </w:p>
    <w:p>
      <w:pPr>
        <w:ind w:left="446" w:right="70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Provisions</w:t>
      </w:r>
      <w:r>
        <w:rPr>
          <w:rFonts w:ascii="Arial" w:cs="Arial" w:eastAsia="Arial" w:hAnsi="Arial"/>
          <w:sz w:val="18"/>
          <w:szCs w:val="18"/>
          <w:color w:val="auto"/>
        </w:rPr>
        <w:t>—Provisions are recognized for current obligations that arise from a past event, that are probable to result in the use of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that can be reasonably estimated.</w:t>
      </w:r>
    </w:p>
    <w:p>
      <w:pPr>
        <w:spacing w:after="0" w:line="50" w:lineRule="exact"/>
        <w:rPr>
          <w:rFonts w:ascii="Arial" w:cs="Arial" w:eastAsia="Arial" w:hAnsi="Arial"/>
          <w:sz w:val="18"/>
          <w:szCs w:val="18"/>
          <w:color w:val="auto"/>
        </w:rPr>
      </w:pPr>
    </w:p>
    <w:p>
      <w:pPr>
        <w:ind w:left="446" w:right="340" w:hanging="446"/>
        <w:spacing w:after="0" w:line="259"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Direct employee benefits</w:t>
      </w:r>
      <w:r>
        <w:rPr>
          <w:rFonts w:ascii="Arial" w:cs="Arial" w:eastAsia="Arial" w:hAnsi="Arial"/>
          <w:sz w:val="18"/>
          <w:szCs w:val="18"/>
          <w:i w:val="1"/>
          <w:iCs w:val="1"/>
          <w:color w:val="auto"/>
        </w:rPr>
        <w:t>—</w:t>
      </w:r>
      <w:r>
        <w:rPr>
          <w:rFonts w:ascii="Arial" w:cs="Arial" w:eastAsia="Arial" w:hAnsi="Arial"/>
          <w:sz w:val="18"/>
          <w:szCs w:val="18"/>
          <w:color w:val="auto"/>
        </w:rPr>
        <w:t>Direct employee benefits are calculated based on the services rendered by employees, considering their most recent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The liability is recognized as it accrues. These benefits include mainly statutory employee profit sharing (“PTU”) payable, compensated absences, such as vacation and vacation premiums, and incentives.</w:t>
      </w:r>
    </w:p>
    <w:p>
      <w:pPr>
        <w:spacing w:after="0" w:line="59" w:lineRule="exact"/>
        <w:rPr>
          <w:rFonts w:ascii="Arial" w:cs="Arial" w:eastAsia="Arial" w:hAnsi="Arial"/>
          <w:sz w:val="18"/>
          <w:szCs w:val="18"/>
          <w:color w:val="auto"/>
        </w:rPr>
      </w:pPr>
    </w:p>
    <w:p>
      <w:pPr>
        <w:ind w:left="446" w:right="280" w:hanging="446"/>
        <w:spacing w:after="0" w:line="332" w:lineRule="auto"/>
        <w:tabs>
          <w:tab w:leader="none" w:pos="446"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Employee benefits from termination, retirement and other</w:t>
      </w:r>
      <w:r>
        <w:rPr>
          <w:rFonts w:ascii="Arial" w:cs="Arial" w:eastAsia="Arial" w:hAnsi="Arial"/>
          <w:sz w:val="16"/>
          <w:szCs w:val="16"/>
          <w:i w:val="1"/>
          <w:iCs w:val="1"/>
          <w:color w:val="auto"/>
        </w:rPr>
        <w:t>—</w:t>
      </w:r>
      <w:r>
        <w:rPr>
          <w:rFonts w:ascii="Arial" w:cs="Arial" w:eastAsia="Arial" w:hAnsi="Arial"/>
          <w:sz w:val="16"/>
          <w:szCs w:val="16"/>
          <w:color w:val="auto"/>
        </w:rPr>
        <w:t>Liabilities from seniority premiums and, severance payments are recognized as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 and are calculated by independent actuaries based on te projected unit credit method using nominal interest rates.</w:t>
      </w:r>
    </w:p>
    <w:p>
      <w:pPr>
        <w:spacing w:after="0" w:line="4" w:lineRule="exact"/>
        <w:rPr>
          <w:rFonts w:ascii="Arial" w:cs="Arial" w:eastAsia="Arial" w:hAnsi="Arial"/>
          <w:sz w:val="16"/>
          <w:szCs w:val="16"/>
          <w:color w:val="auto"/>
        </w:rPr>
      </w:pPr>
    </w:p>
    <w:p>
      <w:pPr>
        <w:jc w:val="both"/>
        <w:ind w:left="446" w:right="200" w:hanging="446"/>
        <w:spacing w:after="0" w:line="255"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Statutory employee profit sharing (PTU)</w:t>
      </w:r>
      <w:r>
        <w:rPr>
          <w:rFonts w:ascii="Arial" w:cs="Arial" w:eastAsia="Arial" w:hAnsi="Arial"/>
          <w:sz w:val="18"/>
          <w:szCs w:val="18"/>
          <w:i w:val="1"/>
          <w:iCs w:val="1"/>
          <w:color w:val="auto"/>
        </w:rPr>
        <w:t>—</w:t>
      </w:r>
      <w:r>
        <w:rPr>
          <w:rFonts w:ascii="Arial" w:cs="Arial" w:eastAsia="Arial" w:hAnsi="Arial"/>
          <w:sz w:val="18"/>
          <w:szCs w:val="18"/>
          <w:color w:val="auto"/>
        </w:rPr>
        <w:t>PTU is recorded in the results of the year in which it is incurred and presented under other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 the accompanying consolidated statements of income. Deferred PTU is derived from temporary differences that result from comparing the accounting and tax bases of assets and liabilities and is recognized only when it can be reasonably assumed that such difference will generate a liability or benefit, and there is no indication that circumstances will change in such a way that the liabilities will not be paid or benefits will not be realized.</w:t>
      </w:r>
    </w:p>
    <w:p>
      <w:pPr>
        <w:spacing w:after="0" w:line="61" w:lineRule="exact"/>
        <w:rPr>
          <w:rFonts w:ascii="Arial" w:cs="Arial" w:eastAsia="Arial" w:hAnsi="Arial"/>
          <w:sz w:val="18"/>
          <w:szCs w:val="18"/>
          <w:color w:val="auto"/>
        </w:rPr>
      </w:pPr>
    </w:p>
    <w:p>
      <w:pPr>
        <w:ind w:left="446" w:right="160" w:hanging="446"/>
        <w:spacing w:after="0" w:line="294" w:lineRule="auto"/>
        <w:tabs>
          <w:tab w:leader="none" w:pos="446" w:val="left"/>
        </w:tabs>
        <w:numPr>
          <w:ilvl w:val="0"/>
          <w:numId w:val="133"/>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i w:val="1"/>
          <w:iCs w:val="1"/>
          <w:color w:val="auto"/>
        </w:rPr>
        <w:t>—</w:t>
      </w:r>
      <w:r>
        <w:rPr>
          <w:rFonts w:ascii="Arial" w:cs="Arial" w:eastAsia="Arial" w:hAnsi="Arial"/>
          <w:sz w:val="16"/>
          <w:szCs w:val="16"/>
          <w:color w:val="auto"/>
        </w:rPr>
        <w:t>Income tax (“ISR”) and the Business Flat Tax (“IETU”) are recorded in the results of the year they are incurred. To recognize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income taxes, based on its financial projections, the Company determines whether it expects to incur ISR or IETU and, accordingly, recognizes deferred taxes based on that expectation. Deferred taxes are calculated by applying the corresponding tax rate to temporary differences resulting from comparing the accounting and tax bases of assets and liabilities and including, if any, future benefits from tax loss carryforwards and certain tax credits. Deferred tax assets are recorded only when there is a high probability of recovery.</w:t>
      </w:r>
    </w:p>
    <w:p>
      <w:pPr>
        <w:spacing w:after="0" w:line="34" w:lineRule="exact"/>
        <w:rPr>
          <w:rFonts w:ascii="Arial" w:cs="Arial" w:eastAsia="Arial" w:hAnsi="Arial"/>
          <w:sz w:val="16"/>
          <w:szCs w:val="16"/>
          <w:color w:val="auto"/>
        </w:rPr>
      </w:pPr>
    </w:p>
    <w:p>
      <w:pPr>
        <w:ind w:left="446" w:right="300" w:hanging="446"/>
        <w:spacing w:after="0" w:line="256"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Foreign currency transactions</w:t>
      </w:r>
      <w:r>
        <w:rPr>
          <w:rFonts w:ascii="Arial" w:cs="Arial" w:eastAsia="Arial" w:hAnsi="Arial"/>
          <w:sz w:val="18"/>
          <w:szCs w:val="18"/>
          <w:color w:val="auto"/>
        </w:rPr>
        <w:t>—Foreign currency transactions are recorded at the applicable exchange rate in effect at the transaction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Monetary assets and liabilities denominated in foreign currency are translated into functional currency amounts at the applicable exchange rate in effect at the balance sheet date. Exchange fluctuations are recorded as a component of net comprehensive financing cost in the consolidated statements of income.</w:t>
      </w:r>
    </w:p>
    <w:p>
      <w:pPr>
        <w:spacing w:after="0" w:line="62"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—Revenues are recognized in the period in which the risks and rewards of ownership of the inventories are transferred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which generally coincides with the delivery of products to customers in satisfaction of orders.</w:t>
      </w:r>
    </w:p>
    <w:p>
      <w:pPr>
        <w:spacing w:after="0" w:line="132"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color w:val="auto"/>
        </w:rPr>
        <w:t>Revenue is recognized at the point of sale for retail transactions and at the time of successful delivery for contract, catalog and internet sales. Sales taxes collected are not included in reported sales. The Company does not charge shipping and handling costs to its customers; such costs are included within selling, administrative and general expenses within the consolidated statements of income and amounted to $105,389, $101,803 and $ 93,002 in 2011, 2010 (unaudited) and 2009 (unaudited), respectively.</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80" w:right="239" w:bottom="1440" w:gutter="0" w:footer="0" w:header="0"/>
        </w:sectPr>
      </w:pPr>
    </w:p>
    <w:bookmarkStart w:id="220" w:name="page221"/>
    <w:bookmarkEnd w:id="220"/>
    <w:p>
      <w:pPr>
        <w:ind w:left="900" w:right="140" w:hanging="446"/>
        <w:spacing w:after="0" w:line="259"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w:t>
      </w:r>
      <w:r>
        <w:rPr>
          <w:rFonts w:ascii="Arial" w:cs="Arial" w:eastAsia="Arial" w:hAnsi="Arial"/>
          <w:sz w:val="18"/>
          <w:szCs w:val="18"/>
          <w:color w:val="auto"/>
        </w:rPr>
        <w:t>—Advertising costs are charged to expense when incurred. Advertising expense for the years ended December 31, 2011,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(unaudited) and 2009 (unaudited) was $203,451, $202,107 and $162,399, respectively. Prepaid advertising costs were $59,936 and $71,649 as of December 31, 2011 and 2010 (unaudited).</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amounts in the consolidated financial statements as of and for the year ended December 31, 2010 (unaudited) and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(unaudited) have been reclassified in order to conform to the presentation of the consolidated financial statements as of and for the year ended December 31, 2011.</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Checking accounts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$290,598</w:t>
            </w: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$ 279,572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Readily available daily investments</w:t>
            </w:r>
          </w:p>
        </w:tc>
        <w:tc>
          <w:tcPr>
            <w:tcW w:w="130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12,058</w:t>
            </w: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302,656</w:t>
            </w: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$ 392,917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6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Accounts receivable and recoverable taxes</w:t>
            </w: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9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center"/>
              <w:ind w:left="158"/>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5"/>
          </w:tcPr>
          <w:p>
            <w:pPr>
              <w:jc w:val="center"/>
              <w:ind w:left="38"/>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$619,977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$ 502,637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60" w:type="dxa"/>
            <w:vAlign w:val="bottom"/>
          </w:tcPr>
          <w:p>
            <w:pPr>
              <w:spacing w:after="0"/>
              <w:rPr>
                <w:sz w:val="19"/>
                <w:szCs w:val="19"/>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(10,259)</w:t>
            </w: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609,718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498,528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6480" w:type="dxa"/>
            <w:vAlign w:val="bottom"/>
            <w:gridSpan w:val="2"/>
          </w:tcPr>
          <w:p>
            <w:pPr>
              <w:ind w:left="1080"/>
              <w:spacing w:after="0"/>
              <w:rPr>
                <w:sz w:val="20"/>
                <w:szCs w:val="20"/>
                <w:color w:val="auto"/>
              </w:rPr>
            </w:pPr>
            <w:r>
              <w:rPr>
                <w:rFonts w:ascii="Arial" w:cs="Arial" w:eastAsia="Arial" w:hAnsi="Arial"/>
                <w:sz w:val="18"/>
                <w:szCs w:val="18"/>
                <w:color w:val="auto"/>
              </w:rPr>
              <w:t>Sundry debtors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32,871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33,659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Recoverable taxes, mainly value-added tax and income tax</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Value-added tax</w:t>
            </w:r>
          </w:p>
        </w:tc>
        <w:tc>
          <w:tcPr>
            <w:tcW w:w="12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219,197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207,509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862,920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$ 811,349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in the allowance for doubtful accounts for the years ended December 31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38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Balance at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34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Write-offs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3380" w:type="dxa"/>
            <w:vAlign w:val="bottom"/>
            <w:gridSpan w:val="2"/>
          </w:tcPr>
          <w:p>
            <w:pPr>
              <w:jc w:val="right"/>
              <w:ind w:right="217"/>
              <w:spacing w:after="0" w:line="149" w:lineRule="exact"/>
              <w:rPr>
                <w:sz w:val="20"/>
                <w:szCs w:val="20"/>
                <w:color w:val="auto"/>
              </w:rPr>
            </w:pPr>
            <w:r>
              <w:rPr>
                <w:rFonts w:ascii="Arial" w:cs="Arial" w:eastAsia="Arial" w:hAnsi="Arial"/>
                <w:sz w:val="14"/>
                <w:szCs w:val="14"/>
                <w:b w:val="1"/>
                <w:bCs w:val="1"/>
                <w:color w:val="auto"/>
              </w:rPr>
              <w:t>beginning of</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40" w:type="dxa"/>
            <w:vAlign w:val="bottom"/>
            <w:gridSpan w:val="2"/>
          </w:tcPr>
          <w:p>
            <w:pPr>
              <w:jc w:val="right"/>
              <w:ind w:right="217"/>
              <w:spacing w:after="0" w:line="149" w:lineRule="exact"/>
              <w:rPr>
                <w:sz w:val="20"/>
                <w:szCs w:val="20"/>
                <w:color w:val="auto"/>
              </w:rPr>
            </w:pPr>
            <w:r>
              <w:rPr>
                <w:rFonts w:ascii="Arial" w:cs="Arial" w:eastAsia="Arial" w:hAnsi="Arial"/>
                <w:sz w:val="14"/>
                <w:szCs w:val="14"/>
                <w:b w:val="1"/>
                <w:bCs w:val="1"/>
                <w:color w:val="auto"/>
              </w:rPr>
              <w:t>uncollectible</w:t>
            </w:r>
          </w:p>
        </w:tc>
        <w:tc>
          <w:tcPr>
            <w:tcW w:w="440" w:type="dxa"/>
            <w:vAlign w:val="bottom"/>
          </w:tcPr>
          <w:p>
            <w:pPr>
              <w:spacing w:after="0"/>
              <w:rPr>
                <w:sz w:val="12"/>
                <w:szCs w:val="12"/>
                <w:color w:val="auto"/>
              </w:rPr>
            </w:pPr>
          </w:p>
        </w:tc>
        <w:tc>
          <w:tcPr>
            <w:tcW w:w="92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61"/>
        </w:trPr>
        <w:tc>
          <w:tcPr>
            <w:tcW w:w="3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Arial" w:cs="Arial" w:eastAsia="Arial" w:hAnsi="Arial"/>
                <w:sz w:val="14"/>
                <w:szCs w:val="14"/>
                <w:b w:val="1"/>
                <w:bCs w:val="1"/>
                <w:color w:val="auto"/>
                <w:w w:val="93"/>
              </w:rPr>
              <w:t>period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40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w w:val="81"/>
              </w:rPr>
              <w:t>accounts</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w w:val="92"/>
              </w:rPr>
              <w:t>ending of period</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4,109</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  7,556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1,406</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10,259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2010 (Unaudited)</w:t>
            </w:r>
          </w:p>
        </w:tc>
        <w:tc>
          <w:tcPr>
            <w:tcW w:w="2500" w:type="dxa"/>
            <w:vAlign w:val="bottom"/>
          </w:tcPr>
          <w:p>
            <w:pPr>
              <w:spacing w:after="0"/>
              <w:rPr>
                <w:sz w:val="18"/>
                <w:szCs w:val="18"/>
                <w:color w:val="auto"/>
              </w:rPr>
            </w:pPr>
          </w:p>
        </w:tc>
        <w:tc>
          <w:tcPr>
            <w:tcW w:w="880" w:type="dxa"/>
            <w:vAlign w:val="bottom"/>
          </w:tcPr>
          <w:p>
            <w:pPr>
              <w:jc w:val="right"/>
              <w:ind w:right="217"/>
              <w:spacing w:after="0"/>
              <w:rPr>
                <w:sz w:val="20"/>
                <w:szCs w:val="20"/>
                <w:color w:val="auto"/>
              </w:rPr>
            </w:pPr>
            <w:r>
              <w:rPr>
                <w:rFonts w:ascii="Arial" w:cs="Arial" w:eastAsia="Arial" w:hAnsi="Arial"/>
                <w:sz w:val="18"/>
                <w:szCs w:val="18"/>
                <w:color w:val="auto"/>
              </w:rPr>
              <w:t>2,305</w:t>
            </w:r>
          </w:p>
        </w:tc>
        <w:tc>
          <w:tcPr>
            <w:tcW w:w="1220" w:type="dxa"/>
            <w:vAlign w:val="bottom"/>
          </w:tcPr>
          <w:p>
            <w:pPr>
              <w:jc w:val="right"/>
              <w:ind w:right="222"/>
              <w:spacing w:after="0"/>
              <w:rPr>
                <w:sz w:val="20"/>
                <w:szCs w:val="20"/>
                <w:color w:val="auto"/>
              </w:rPr>
            </w:pPr>
            <w:r>
              <w:rPr>
                <w:rFonts w:ascii="Arial" w:cs="Arial" w:eastAsia="Arial" w:hAnsi="Arial"/>
                <w:sz w:val="18"/>
                <w:szCs w:val="18"/>
                <w:color w:val="auto"/>
              </w:rPr>
              <w:t>3,276</w:t>
            </w:r>
          </w:p>
        </w:tc>
        <w:tc>
          <w:tcPr>
            <w:tcW w:w="400" w:type="dxa"/>
            <w:vAlign w:val="bottom"/>
          </w:tcPr>
          <w:p>
            <w:pPr>
              <w:spacing w:after="0"/>
              <w:rPr>
                <w:sz w:val="18"/>
                <w:szCs w:val="18"/>
                <w:color w:val="auto"/>
              </w:rPr>
            </w:pPr>
          </w:p>
        </w:tc>
        <w:tc>
          <w:tcPr>
            <w:tcW w:w="940" w:type="dxa"/>
            <w:vAlign w:val="bottom"/>
          </w:tcPr>
          <w:p>
            <w:pPr>
              <w:jc w:val="right"/>
              <w:ind w:right="217"/>
              <w:spacing w:after="0"/>
              <w:rPr>
                <w:sz w:val="20"/>
                <w:szCs w:val="20"/>
                <w:color w:val="auto"/>
              </w:rPr>
            </w:pPr>
            <w:r>
              <w:rPr>
                <w:rFonts w:ascii="Arial" w:cs="Arial" w:eastAsia="Arial" w:hAnsi="Arial"/>
                <w:sz w:val="18"/>
                <w:szCs w:val="18"/>
                <w:color w:val="auto"/>
              </w:rPr>
              <w:t>1,472</w:t>
            </w:r>
          </w:p>
        </w:tc>
        <w:tc>
          <w:tcPr>
            <w:tcW w:w="44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4,109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2009 (Unaudited)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5,053</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1,327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4,075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2,305</w:t>
            </w:r>
          </w:p>
        </w:tc>
      </w:tr>
      <w:tr>
        <w:trPr>
          <w:trHeight w:val="363"/>
        </w:trPr>
        <w:tc>
          <w:tcPr>
            <w:tcW w:w="3200" w:type="dxa"/>
            <w:vAlign w:val="bottom"/>
          </w:tcPr>
          <w:p>
            <w:pPr>
              <w:spacing w:after="0"/>
              <w:rPr>
                <w:sz w:val="24"/>
                <w:szCs w:val="24"/>
                <w:color w:val="auto"/>
              </w:rPr>
            </w:pPr>
          </w:p>
        </w:tc>
        <w:tc>
          <w:tcPr>
            <w:tcW w:w="2500" w:type="dxa"/>
            <w:vAlign w:val="bottom"/>
          </w:tcPr>
          <w:p>
            <w:pPr>
              <w:jc w:val="right"/>
              <w:ind w:right="282"/>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20"/>
          </w:cols>
          <w:pgMar w:left="240" w:top="280" w:right="439" w:bottom="1440" w:gutter="0" w:footer="0" w:header="0"/>
        </w:sectPr>
      </w:pPr>
    </w:p>
    <w:bookmarkStart w:id="221" w:name="page222"/>
    <w:bookmarkEnd w:id="2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6.</w:t>
            </w:r>
          </w:p>
        </w:tc>
        <w:tc>
          <w:tcPr>
            <w:tcW w:w="476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Inventories</w:t>
            </w:r>
          </w:p>
        </w:tc>
        <w:tc>
          <w:tcPr>
            <w:tcW w:w="2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(Unaudited)</w:t>
            </w:r>
          </w:p>
        </w:tc>
        <w:tc>
          <w:tcPr>
            <w:tcW w:w="90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$2,904,640</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$2,708,292</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obsolete inventories</w:t>
            </w:r>
          </w:p>
        </w:tc>
        <w:tc>
          <w:tcPr>
            <w:tcW w:w="2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(12,659)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(11,983)</w:t>
            </w:r>
          </w:p>
        </w:tc>
        <w:tc>
          <w:tcPr>
            <w:tcW w:w="9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2,891,981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2,696,309</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Goods in-transit</w:t>
            </w:r>
          </w:p>
        </w:tc>
        <w:tc>
          <w:tcPr>
            <w:tcW w:w="2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2,933,151</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2,729,063</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8380" w:type="dxa"/>
            <w:vAlign w:val="bottom"/>
            <w:gridSpan w:val="7"/>
          </w:tcPr>
          <w:p>
            <w:pPr>
              <w:ind w:left="160"/>
              <w:spacing w:after="0"/>
              <w:rPr>
                <w:sz w:val="20"/>
                <w:szCs w:val="20"/>
                <w:color w:val="auto"/>
              </w:rPr>
            </w:pPr>
            <w:r>
              <w:rPr>
                <w:rFonts w:ascii="Arial" w:cs="Arial" w:eastAsia="Arial" w:hAnsi="Arial"/>
                <w:sz w:val="18"/>
                <w:szCs w:val="18"/>
                <w:color w:val="auto"/>
              </w:rPr>
              <w:t>Movements in the allowance for obsolete inventories for the years ended December 31 are as follows: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0" w:type="dxa"/>
            <w:vAlign w:val="bottom"/>
          </w:tcPr>
          <w:p>
            <w:pPr>
              <w:jc w:val="center"/>
              <w:ind w:left="842"/>
              <w:spacing w:after="0"/>
              <w:rPr>
                <w:sz w:val="20"/>
                <w:szCs w:val="20"/>
                <w:color w:val="auto"/>
              </w:rPr>
            </w:pPr>
            <w:r>
              <w:rPr>
                <w:rFonts w:ascii="Arial" w:cs="Arial" w:eastAsia="Arial" w:hAnsi="Arial"/>
                <w:sz w:val="14"/>
                <w:szCs w:val="14"/>
                <w:b w:val="1"/>
                <w:bCs w:val="1"/>
                <w:color w:val="auto"/>
                <w:w w:val="85"/>
              </w:rPr>
              <w:t>Balance at</w:t>
            </w: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Additional</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0" w:type="dxa"/>
            <w:vAlign w:val="bottom"/>
          </w:tcPr>
          <w:p>
            <w:pPr>
              <w:jc w:val="center"/>
              <w:ind w:left="842"/>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charged to</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1"/>
              </w:rPr>
              <w:t>Balance at ending</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0" w:type="dxa"/>
            <w:vAlign w:val="bottom"/>
          </w:tcPr>
          <w:p>
            <w:pPr>
              <w:jc w:val="center"/>
              <w:ind w:left="862"/>
              <w:spacing w:after="0"/>
              <w:rPr>
                <w:sz w:val="20"/>
                <w:szCs w:val="20"/>
                <w:color w:val="auto"/>
              </w:rPr>
            </w:pPr>
            <w:r>
              <w:rPr>
                <w:rFonts w:ascii="Arial" w:cs="Arial" w:eastAsia="Arial" w:hAnsi="Arial"/>
                <w:sz w:val="14"/>
                <w:szCs w:val="14"/>
                <w:b w:val="1"/>
                <w:bCs w:val="1"/>
                <w:color w:val="auto"/>
                <w:w w:val="88"/>
              </w:rPr>
              <w:t>period</w:t>
            </w: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expenses</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Shrinkage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w w:val="86"/>
              </w:rPr>
              <w:t>of period</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8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  11,983</w:t>
            </w:r>
          </w:p>
        </w:tc>
        <w:tc>
          <w:tcPr>
            <w:tcW w:w="1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$ 16,759</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$ 16,083</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12,659</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2010 (Unaudited)</w:t>
            </w:r>
          </w:p>
        </w:tc>
        <w:tc>
          <w:tcPr>
            <w:tcW w:w="2200" w:type="dxa"/>
            <w:vAlign w:val="bottom"/>
          </w:tcPr>
          <w:p>
            <w:pPr>
              <w:jc w:val="right"/>
              <w:ind w:right="182"/>
              <w:spacing w:after="0"/>
              <w:rPr>
                <w:sz w:val="20"/>
                <w:szCs w:val="20"/>
                <w:color w:val="auto"/>
              </w:rPr>
            </w:pPr>
            <w:r>
              <w:rPr>
                <w:rFonts w:ascii="Arial" w:cs="Arial" w:eastAsia="Arial" w:hAnsi="Arial"/>
                <w:sz w:val="18"/>
                <w:szCs w:val="18"/>
                <w:color w:val="auto"/>
              </w:rPr>
              <w:t>5,022</w:t>
            </w:r>
          </w:p>
        </w:tc>
        <w:tc>
          <w:tcPr>
            <w:tcW w:w="1360" w:type="dxa"/>
            <w:vAlign w:val="bottom"/>
            <w:gridSpan w:val="2"/>
          </w:tcPr>
          <w:p>
            <w:pPr>
              <w:jc w:val="right"/>
              <w:ind w:right="372"/>
              <w:spacing w:after="0"/>
              <w:rPr>
                <w:sz w:val="20"/>
                <w:szCs w:val="20"/>
                <w:color w:val="auto"/>
              </w:rPr>
            </w:pPr>
            <w:r>
              <w:rPr>
                <w:rFonts w:ascii="Arial" w:cs="Arial" w:eastAsia="Arial" w:hAnsi="Arial"/>
                <w:sz w:val="18"/>
                <w:szCs w:val="18"/>
                <w:color w:val="auto"/>
              </w:rPr>
              <w:t>16,622</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9,661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11,983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(Unauidted)</w:t>
            </w:r>
          </w:p>
        </w:tc>
        <w:tc>
          <w:tcPr>
            <w:tcW w:w="22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5,968</w:t>
            </w:r>
          </w:p>
        </w:tc>
        <w:tc>
          <w:tcPr>
            <w:tcW w:w="1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5,022</w:t>
            </w:r>
          </w:p>
        </w:tc>
      </w:tr>
    </w:tbl>
    <w:p>
      <w:pPr>
        <w:spacing w:after="0" w:line="26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leasehold improvements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3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14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61"/>
        </w:trPr>
        <w:tc>
          <w:tcPr>
            <w:tcW w:w="5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(Unaudited)</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$ 2,148,074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$ 2,044,160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1,042,345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940,559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966,230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868,628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314,352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276,494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4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146,038</w:t>
            </w:r>
          </w:p>
        </w:tc>
        <w:tc>
          <w:tcPr>
            <w:tcW w:w="100" w:type="dxa"/>
            <w:vAlign w:val="bottom"/>
            <w:shd w:val="clear" w:color="auto" w:fill="CCEEFF"/>
          </w:tcPr>
          <w:p>
            <w:pPr>
              <w:spacing w:after="0"/>
              <w:rPr>
                <w:sz w:val="18"/>
                <w:szCs w:val="18"/>
                <w:color w:val="auto"/>
              </w:rPr>
            </w:pPr>
          </w:p>
        </w:tc>
      </w:tr>
      <w:tr>
        <w:trPr>
          <w:trHeight w:val="221"/>
        </w:trPr>
        <w:tc>
          <w:tcPr>
            <w:tcW w:w="5580" w:type="dxa"/>
            <w:vAlign w:val="bottom"/>
          </w:tcPr>
          <w:p>
            <w:pPr>
              <w:spacing w:after="0"/>
              <w:rPr>
                <w:sz w:val="19"/>
                <w:szCs w:val="19"/>
                <w:color w:val="auto"/>
              </w:rPr>
            </w:pP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4,631,226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4,275,879</w:t>
            </w: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(1,936,834)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(1,681,623)</w:t>
            </w:r>
          </w:p>
        </w:tc>
      </w:tr>
      <w:tr>
        <w:trPr>
          <w:trHeight w:val="221"/>
        </w:trPr>
        <w:tc>
          <w:tcPr>
            <w:tcW w:w="5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2,694,392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2,594,256</w:t>
            </w:r>
          </w:p>
        </w:tc>
        <w:tc>
          <w:tcPr>
            <w:tcW w:w="100" w:type="dxa"/>
            <w:vAlign w:val="bottom"/>
          </w:tcPr>
          <w:p>
            <w:pPr>
              <w:spacing w:after="0"/>
              <w:rPr>
                <w:sz w:val="19"/>
                <w:szCs w:val="19"/>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1,365,260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1,248,269</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Construction in-progress</w:t>
            </w:r>
          </w:p>
        </w:tc>
        <w:tc>
          <w:tcPr>
            <w:tcW w:w="2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$ 4,133,426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$ 3,854,007</w:t>
            </w:r>
          </w:p>
        </w:tc>
      </w:tr>
      <w:tr>
        <w:trPr>
          <w:trHeight w:val="20"/>
        </w:trPr>
        <w:tc>
          <w:tcPr>
            <w:tcW w:w="5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expense for the years ended December 31, 2011, 2010 (unaudited) and 2009 (unaudited) was $207,982, $196,794 and $193,502, respectively.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the years ended December 31, 2011, 2010 (unaudited) and 2009 (unaudited) was $94,890, $65,859 and $68,395,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59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Intangible assets as of December 31, are as follows: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4"/>
          </w:tcPr>
          <w:p>
            <w:pPr>
              <w:ind w:left="24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useful lives: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tcPr>
          <w:p>
            <w:pPr>
              <w:ind w:left="440"/>
              <w:spacing w:after="0"/>
              <w:rPr>
                <w:sz w:val="20"/>
                <w:szCs w:val="20"/>
                <w:color w:val="auto"/>
              </w:rPr>
            </w:pPr>
            <w:r>
              <w:rPr>
                <w:rFonts w:ascii="Arial" w:cs="Arial" w:eastAsia="Arial" w:hAnsi="Arial"/>
                <w:sz w:val="18"/>
                <w:szCs w:val="18"/>
                <w:color w:val="auto"/>
              </w:rPr>
              <w:t>Non-compete agreement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24,121</w:t>
            </w: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list</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92,912</w:t>
            </w:r>
          </w:p>
        </w:tc>
        <w:tc>
          <w:tcPr>
            <w:tcW w:w="100" w:type="dxa"/>
            <w:vAlign w:val="bottom"/>
            <w:shd w:val="clear" w:color="auto" w:fill="CCEEFF"/>
          </w:tcPr>
          <w:p>
            <w:pPr>
              <w:spacing w:after="0"/>
              <w:rPr>
                <w:sz w:val="18"/>
                <w:szCs w:val="18"/>
                <w:color w:val="auto"/>
              </w:rPr>
            </w:pPr>
          </w:p>
        </w:tc>
      </w:tr>
      <w:tr>
        <w:trPr>
          <w:trHeight w:val="221"/>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127,467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114,278</w:t>
            </w:r>
          </w:p>
        </w:tc>
        <w:tc>
          <w:tcPr>
            <w:tcW w:w="100" w:type="dxa"/>
            <w:vAlign w:val="bottom"/>
          </w:tcPr>
          <w:p>
            <w:pPr>
              <w:spacing w:after="0"/>
              <w:rPr>
                <w:sz w:val="19"/>
                <w:szCs w:val="19"/>
                <w:color w:val="auto"/>
              </w:rPr>
            </w:pPr>
          </w:p>
        </w:tc>
      </w:tr>
      <w:tr>
        <w:trPr>
          <w:trHeight w:val="21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(40,308)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1"/>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114,278</w:t>
            </w:r>
          </w:p>
        </w:tc>
        <w:tc>
          <w:tcPr>
            <w:tcW w:w="100" w:type="dxa"/>
            <w:vAlign w:val="bottom"/>
          </w:tcPr>
          <w:p>
            <w:pPr>
              <w:spacing w:after="0"/>
              <w:rPr>
                <w:sz w:val="19"/>
                <w:szCs w:val="19"/>
                <w:color w:val="auto"/>
              </w:rPr>
            </w:pPr>
          </w:p>
        </w:tc>
      </w:tr>
      <w:tr>
        <w:trPr>
          <w:trHeight w:val="21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with indefinite useful life: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Trade mark</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100,149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125,957</w:t>
            </w:r>
          </w:p>
        </w:tc>
        <w:tc>
          <w:tcPr>
            <w:tcW w:w="10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60"/>
        <w:spacing w:after="0" w:line="370" w:lineRule="auto"/>
        <w:rPr>
          <w:sz w:val="20"/>
          <w:szCs w:val="20"/>
          <w:color w:val="auto"/>
        </w:rPr>
      </w:pPr>
      <w:r>
        <w:rPr>
          <w:rFonts w:ascii="Arial" w:cs="Arial" w:eastAsia="Arial" w:hAnsi="Arial"/>
          <w:sz w:val="15"/>
          <w:szCs w:val="15"/>
          <w:color w:val="auto"/>
        </w:rPr>
        <w:t>Amortization expense of intangible assets for the years ended December 31, 2011, 2010 (unaudited) and 2009 (unaudited) was $36,641, $0 and $0, respectively. The estimated aggregate amortization expense of intangible assets with finite lives for each of the five following years is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0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79"/>
              </w:rPr>
              <w:t>2012</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22,594</w:t>
            </w:r>
          </w:p>
        </w:tc>
      </w:tr>
      <w:tr>
        <w:trPr>
          <w:trHeight w:val="216"/>
        </w:trPr>
        <w:tc>
          <w:tcPr>
            <w:tcW w:w="3700" w:type="dxa"/>
            <w:vAlign w:val="bottom"/>
          </w:tcPr>
          <w:p>
            <w:pPr>
              <w:jc w:val="right"/>
              <w:ind w:right="3272"/>
              <w:spacing w:after="0"/>
              <w:rPr>
                <w:sz w:val="20"/>
                <w:szCs w:val="20"/>
                <w:color w:val="auto"/>
              </w:rPr>
            </w:pPr>
            <w:r>
              <w:rPr>
                <w:rFonts w:ascii="Arial" w:cs="Arial" w:eastAsia="Arial" w:hAnsi="Arial"/>
                <w:sz w:val="18"/>
                <w:szCs w:val="18"/>
                <w:color w:val="auto"/>
                <w:w w:val="79"/>
              </w:rPr>
              <w:t>2013</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22,594</w:t>
            </w:r>
          </w:p>
        </w:tc>
      </w:tr>
      <w:tr>
        <w:trPr>
          <w:trHeight w:val="216"/>
        </w:trPr>
        <w:tc>
          <w:tcPr>
            <w:tcW w:w="370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79"/>
              </w:rPr>
              <w:t>2014</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22,594</w:t>
            </w:r>
          </w:p>
        </w:tc>
      </w:tr>
      <w:tr>
        <w:trPr>
          <w:trHeight w:val="216"/>
        </w:trPr>
        <w:tc>
          <w:tcPr>
            <w:tcW w:w="3700" w:type="dxa"/>
            <w:vAlign w:val="bottom"/>
          </w:tcPr>
          <w:p>
            <w:pPr>
              <w:jc w:val="right"/>
              <w:ind w:right="3272"/>
              <w:spacing w:after="0"/>
              <w:rPr>
                <w:sz w:val="20"/>
                <w:szCs w:val="20"/>
                <w:color w:val="auto"/>
              </w:rPr>
            </w:pPr>
            <w:r>
              <w:rPr>
                <w:rFonts w:ascii="Arial" w:cs="Arial" w:eastAsia="Arial" w:hAnsi="Arial"/>
                <w:sz w:val="18"/>
                <w:szCs w:val="18"/>
                <w:color w:val="auto"/>
                <w:w w:val="79"/>
              </w:rPr>
              <w:t>2015</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17,448</w:t>
            </w:r>
          </w:p>
        </w:tc>
      </w:tr>
      <w:tr>
        <w:trPr>
          <w:trHeight w:val="216"/>
        </w:trPr>
        <w:tc>
          <w:tcPr>
            <w:tcW w:w="370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79"/>
              </w:rPr>
              <w:t>2016</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r>
    </w:tbl>
    <w:p>
      <w:pPr>
        <w:spacing w:after="0" w:line="26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obligations</w:t>
      </w:r>
    </w:p>
    <w:p>
      <w:pPr>
        <w:spacing w:after="0" w:line="96" w:lineRule="exact"/>
        <w:rPr>
          <w:rFonts w:ascii="Arial" w:cs="Arial" w:eastAsia="Arial" w:hAnsi="Arial"/>
          <w:sz w:val="18"/>
          <w:szCs w:val="18"/>
          <w:b w:val="1"/>
          <w:bCs w:val="1"/>
          <w:color w:val="auto"/>
        </w:rPr>
      </w:pPr>
    </w:p>
    <w:p>
      <w:pPr>
        <w:jc w:val="both"/>
        <w:ind w:left="900" w:hanging="446"/>
        <w:spacing w:after="0" w:line="335" w:lineRule="auto"/>
        <w:tabs>
          <w:tab w:leader="none" w:pos="90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The Company pays seniority premium benefits to its employees, which consist of a lump sum payment of 12 days’ wage for each year worked, calculated using the most recent salary, not to exceed twice the minimum wage established by law. The related liability and annual cost of such benefits are calculated by an independent actuary on the basis of formulas defined in the plans using the projected unit credit method.</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Present value of these obligations are: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obligation—Underfunded</w:t>
            </w: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(42,316)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(35,614)</w:t>
            </w:r>
          </w:p>
        </w:tc>
        <w:tc>
          <w:tcPr>
            <w:tcW w:w="0" w:type="dxa"/>
            <w:vAlign w:val="bottom"/>
          </w:tcPr>
          <w:p>
            <w:pPr>
              <w:spacing w:after="0"/>
              <w:rPr>
                <w:sz w:val="1"/>
                <w:szCs w:val="1"/>
                <w:color w:val="auto"/>
              </w:rPr>
            </w:pPr>
          </w:p>
        </w:tc>
      </w:tr>
      <w:tr>
        <w:trPr>
          <w:trHeight w:val="323"/>
        </w:trPr>
        <w:tc>
          <w:tcPr>
            <w:tcW w:w="5860" w:type="dxa"/>
            <w:vAlign w:val="bottom"/>
            <w:gridSpan w:val="2"/>
          </w:tcPr>
          <w:p>
            <w:pPr>
              <w:spacing w:after="0"/>
              <w:rPr>
                <w:sz w:val="20"/>
                <w:szCs w:val="20"/>
                <w:color w:val="auto"/>
              </w:rPr>
            </w:pPr>
            <w:r>
              <w:rPr>
                <w:rFonts w:ascii="Arial" w:cs="Arial" w:eastAsia="Arial" w:hAnsi="Arial"/>
                <w:sz w:val="18"/>
                <w:szCs w:val="18"/>
                <w:color w:val="auto"/>
              </w:rPr>
              <w:t>Unrecognized items:</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Past service costs, change in methodology and changes to the plan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Transition liability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gains and losses</w:t>
            </w:r>
          </w:p>
        </w:tc>
        <w:tc>
          <w:tcPr>
            <w:tcW w:w="7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Total unrecognized amounts pending amortization</w:t>
            </w:r>
          </w:p>
        </w:tc>
        <w:tc>
          <w:tcPr>
            <w:tcW w:w="7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projected liability</w:t>
            </w: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(40,775)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(33,997)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1352"/>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223" w:name="page224"/>
    <w:bookmarkEnd w:id="2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Nominal rates used in actuarial calculations are as follows: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Discount of the projected benefit obligation at present value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Salary increase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ind w:left="18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5"/>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Minimum wage increase rate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80" w:type="dxa"/>
            <w:vAlign w:val="bottom"/>
          </w:tcPr>
          <w:p>
            <w:pPr>
              <w:spacing w:after="0"/>
              <w:rPr>
                <w:sz w:val="24"/>
                <w:szCs w:val="24"/>
                <w:color w:val="auto"/>
              </w:rPr>
            </w:pPr>
          </w:p>
        </w:tc>
        <w:tc>
          <w:tcPr>
            <w:tcW w:w="7440" w:type="dxa"/>
            <w:vAlign w:val="bottom"/>
            <w:gridSpan w:val="8"/>
          </w:tcPr>
          <w:p>
            <w:pPr>
              <w:ind w:left="180"/>
              <w:spacing w:after="0"/>
              <w:rPr>
                <w:sz w:val="20"/>
                <w:szCs w:val="20"/>
                <w:color w:val="auto"/>
              </w:rPr>
            </w:pPr>
            <w:r>
              <w:rPr>
                <w:rFonts w:ascii="Arial" w:cs="Arial" w:eastAsia="Arial" w:hAnsi="Arial"/>
                <w:sz w:val="18"/>
                <w:szCs w:val="18"/>
                <w:color w:val="auto"/>
              </w:rPr>
              <w:t>The transition liability balance generated in 2007 will be amortized over a five-year period.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Net cost for the period includes the following items: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$ 9,255</w:t>
            </w: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10,724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2,880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5,197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Actuarial gains</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(6,977)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Effect of personnel reduction or early termination (other than a restructuring or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w:t>
            </w:r>
          </w:p>
        </w:tc>
        <w:tc>
          <w:tcPr>
            <w:tcW w:w="3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Net cost for the period</w:t>
            </w: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20" w:type="dxa"/>
            <w:vAlign w:val="bottom"/>
            <w:gridSpan w:val="2"/>
            <w:vMerge w:val="continue"/>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$ 9,750</w:t>
            </w:r>
          </w:p>
        </w:tc>
        <w:tc>
          <w:tcPr>
            <w:tcW w:w="240" w:type="dxa"/>
            <w:vAlign w:val="bottom"/>
          </w:tcPr>
          <w:p>
            <w:pPr>
              <w:spacing w:after="0"/>
              <w:rPr>
                <w:sz w:val="19"/>
                <w:szCs w:val="19"/>
                <w:color w:val="auto"/>
              </w:rPr>
            </w:pP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12,998</w:t>
            </w:r>
          </w:p>
        </w:tc>
        <w:tc>
          <w:tcPr>
            <w:tcW w:w="80" w:type="dxa"/>
            <w:vAlign w:val="bottom"/>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10,374</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e.</w:t>
            </w:r>
          </w:p>
        </w:tc>
        <w:tc>
          <w:tcPr>
            <w:tcW w:w="6100" w:type="dxa"/>
            <w:vAlign w:val="bottom"/>
            <w:gridSpan w:val="3"/>
            <w:vMerge w:val="restart"/>
          </w:tcPr>
          <w:p>
            <w:pPr>
              <w:ind w:left="160"/>
              <w:spacing w:after="0"/>
              <w:rPr>
                <w:sz w:val="20"/>
                <w:szCs w:val="20"/>
                <w:color w:val="auto"/>
              </w:rPr>
            </w:pPr>
            <w:r>
              <w:rPr>
                <w:rFonts w:ascii="Arial" w:cs="Arial" w:eastAsia="Arial" w:hAnsi="Arial"/>
                <w:sz w:val="18"/>
                <w:szCs w:val="18"/>
                <w:color w:val="auto"/>
              </w:rPr>
              <w:t>Changes in present value of the defined benefit obligation, are as follows: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61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24,773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19,837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9,255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9,220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10,724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Amortization of unrecognized prior service costs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5,197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3,977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gains and losses – Net</w:t>
            </w:r>
          </w:p>
        </w:tc>
        <w:tc>
          <w:tcPr>
            <w:tcW w:w="13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(6,977)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(3,775)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personnel reduction or early termination</w:t>
            </w:r>
          </w:p>
        </w:tc>
        <w:tc>
          <w:tcPr>
            <w:tcW w:w="52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Present value of the defined benefit obligation as of December 31</w:t>
            </w:r>
          </w:p>
        </w:tc>
        <w:tc>
          <w:tcPr>
            <w:tcW w:w="5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20" w:type="dxa"/>
            <w:vAlign w:val="bottom"/>
            <w:gridSpan w:val="2"/>
            <w:vMerge w:val="continue"/>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40,775</w:t>
            </w:r>
          </w:p>
        </w:tc>
        <w:tc>
          <w:tcPr>
            <w:tcW w:w="2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33,997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24,773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6" w:hanging="446"/>
        <w:spacing w:after="0" w:line="259"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Under Mexican legislation, the Company must make payments equivalent to 2% of its workers’ daily integrated salary (ceiling) to a defined contribution plan that is part of the retirement savings system. The expense in 2011, 2010 (unaudited) and 2009 (unaudited) was $14,348, $12,552 and $11,695, respectively.</w:t>
      </w:r>
    </w:p>
    <w:p>
      <w:pPr>
        <w:spacing w:after="0" w:line="127"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6"/>
          </w:cols>
          <w:pgMar w:left="694" w:top="280" w:right="479" w:bottom="1440" w:gutter="0" w:footer="0" w:header="0"/>
        </w:sectPr>
      </w:pPr>
    </w:p>
    <w:bookmarkStart w:id="224" w:name="page225"/>
    <w:bookmarkEnd w:id="224"/>
    <w:p>
      <w:pPr>
        <w:ind w:left="452" w:hanging="452"/>
        <w:spacing w:after="0"/>
        <w:tabs>
          <w:tab w:leader="none" w:pos="45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equity</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Common stock at par value (historical pesos) as of December 31, 2011 and 2010 (unaudited) is as follows:</w:t>
      </w:r>
    </w:p>
    <w:p>
      <w:pPr>
        <w:spacing w:after="0" w:line="20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Fixed capital:</w:t>
            </w:r>
          </w:p>
        </w:tc>
        <w:tc>
          <w:tcPr>
            <w:tcW w:w="2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Series A</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25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Variable capital:</w:t>
            </w:r>
          </w:p>
        </w:tc>
        <w:tc>
          <w:tcPr>
            <w:tcW w:w="2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Series A</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27,749,159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25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27,749,159</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277,492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55,498,318</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554,984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55,503,318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555,034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spacing w:after="0" w:line="332" w:lineRule="auto"/>
        <w:rPr>
          <w:sz w:val="20"/>
          <w:szCs w:val="20"/>
          <w:color w:val="auto"/>
        </w:rPr>
      </w:pPr>
      <w:r>
        <w:rPr>
          <w:rFonts w:ascii="Arial" w:cs="Arial" w:eastAsia="Arial" w:hAnsi="Arial"/>
          <w:sz w:val="16"/>
          <w:szCs w:val="16"/>
          <w:color w:val="auto"/>
        </w:rPr>
        <w:t>Common stock consists of common nominative shares at a par value of $10 per share. Series A shares represent 50% of common stock and may only be acquired by Mexican citizens. Series B shares represent 50% of common stock and may be freely subscribed. Variable capital is unlimited.</w:t>
      </w:r>
    </w:p>
    <w:p>
      <w:pPr>
        <w:spacing w:after="0" w:line="4" w:lineRule="exact"/>
        <w:rPr>
          <w:sz w:val="20"/>
          <w:szCs w:val="20"/>
          <w:color w:val="auto"/>
        </w:rPr>
      </w:pPr>
    </w:p>
    <w:p>
      <w:pPr>
        <w:ind w:left="892" w:right="500" w:hanging="446"/>
        <w:spacing w:after="0" w:line="268" w:lineRule="auto"/>
        <w:tabs>
          <w:tab w:leader="none" w:pos="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a resolution at the general ordinary stockholders’ meeting held on April 8, 2011, a dividend was declared out of the net tax income account (CUFIN) for $600,000.</w:t>
      </w:r>
    </w:p>
    <w:p>
      <w:pPr>
        <w:spacing w:after="0" w:line="50" w:lineRule="exact"/>
        <w:rPr>
          <w:rFonts w:ascii="Arial" w:cs="Arial" w:eastAsia="Arial" w:hAnsi="Arial"/>
          <w:sz w:val="18"/>
          <w:szCs w:val="18"/>
          <w:color w:val="auto"/>
        </w:rPr>
      </w:pPr>
    </w:p>
    <w:p>
      <w:pPr>
        <w:ind w:left="892" w:right="220" w:hanging="446"/>
        <w:spacing w:after="0" w:line="268" w:lineRule="auto"/>
        <w:tabs>
          <w:tab w:leader="none" w:pos="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a resolution at the general ordinary stockholders’ meeting held on January 16, 2009, a dividend was declared out of the net tax income account (CUFIN) for $400,000.</w:t>
      </w:r>
    </w:p>
    <w:p>
      <w:pPr>
        <w:spacing w:after="0" w:line="50" w:lineRule="exact"/>
        <w:rPr>
          <w:rFonts w:ascii="Arial" w:cs="Arial" w:eastAsia="Arial" w:hAnsi="Arial"/>
          <w:sz w:val="18"/>
          <w:szCs w:val="18"/>
          <w:color w:val="auto"/>
        </w:rPr>
      </w:pPr>
    </w:p>
    <w:p>
      <w:pPr>
        <w:ind w:left="892" w:right="40" w:hanging="446"/>
        <w:spacing w:after="0" w:line="256" w:lineRule="auto"/>
        <w:tabs>
          <w:tab w:leader="none" w:pos="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Retained earnings include the statutory legal reserve. The General Corporate Law requires that at least 5% of net income of the year be transferred to the legal reserve until the reserve equals 20% of capital stock at par value (historical pesos). The legal reserve may be capitalized but may not be distributed unless the entity is dissolved. The legal reserve must be replenished if it is reduced for any reason. As of December 31, 2011 and 2010, the legal reserve, in historical pesos, was $111,007.</w:t>
      </w:r>
    </w:p>
    <w:p>
      <w:pPr>
        <w:spacing w:after="0" w:line="62" w:lineRule="exact"/>
        <w:rPr>
          <w:rFonts w:ascii="Arial" w:cs="Arial" w:eastAsia="Arial" w:hAnsi="Arial"/>
          <w:sz w:val="18"/>
          <w:szCs w:val="18"/>
          <w:color w:val="auto"/>
        </w:rPr>
      </w:pPr>
    </w:p>
    <w:p>
      <w:pPr>
        <w:ind w:left="892" w:right="340" w:hanging="446"/>
        <w:spacing w:after="0" w:line="259" w:lineRule="auto"/>
        <w:tabs>
          <w:tab w:leader="none" w:pos="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Stockholders’ equity, except restated paid-in capital and tax retained earnings will be subject to ISR payable by the Company at the rate in effect upon distribution. Any tax paid on such distribution may be credited against annual and estimated income taxes of the year in which the tax on dividends is paid and the following two fiscal years.</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balances of the stockholders’ equity tax accounts as of December 31, are:</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2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 account</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$1,515,297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tax income account (CUFIN)</w:t>
            </w:r>
          </w:p>
        </w:tc>
        <w:tc>
          <w:tcPr>
            <w:tcW w:w="3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4,785,758</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4,940,345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6,301,055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7,807,563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60" w:type="dxa"/>
            <w:vAlign w:val="bottom"/>
            <w:vMerge w:val="restart"/>
          </w:tcPr>
          <w:p>
            <w:pPr>
              <w:jc w:val="right"/>
              <w:ind w:right="2057"/>
              <w:spacing w:after="0"/>
              <w:rPr>
                <w:sz w:val="20"/>
                <w:szCs w:val="20"/>
                <w:color w:val="auto"/>
              </w:rPr>
            </w:pPr>
            <w:r>
              <w:rPr>
                <w:rFonts w:ascii="Arial" w:cs="Arial" w:eastAsia="Arial" w:hAnsi="Arial"/>
                <w:sz w:val="18"/>
                <w:szCs w:val="18"/>
                <w:color w:val="auto"/>
              </w:rPr>
              <w:t>17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225" w:name="page226"/>
    <w:bookmarkEnd w:id="225"/>
    <w:p>
      <w:pPr>
        <w:ind w:left="452" w:hanging="452"/>
        <w:spacing w:after="0"/>
        <w:tabs>
          <w:tab w:leader="none" w:pos="45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currency balances and transactions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As of December 31, the foreign currency monetary position is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Thousands of U.S. dollars:</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Monetary assets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$ 26,083</w:t>
            </w:r>
          </w:p>
        </w:tc>
        <w:tc>
          <w:tcPr>
            <w:tcW w:w="28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Monetary liabilities</w:t>
            </w:r>
          </w:p>
        </w:tc>
        <w:tc>
          <w:tcPr>
            <w:tcW w:w="18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420"/>
              <w:spacing w:after="0"/>
              <w:rPr>
                <w:sz w:val="20"/>
                <w:szCs w:val="20"/>
                <w:color w:val="auto"/>
              </w:rPr>
            </w:pPr>
            <w:r>
              <w:rPr>
                <w:rFonts w:ascii="Arial" w:cs="Arial" w:eastAsia="Arial" w:hAnsi="Arial"/>
                <w:sz w:val="18"/>
                <w:szCs w:val="18"/>
                <w:color w:val="auto"/>
              </w:rPr>
              <w:t>Net monetary liability position</w:t>
            </w:r>
          </w:p>
        </w:tc>
        <w:tc>
          <w:tcPr>
            <w:tcW w:w="1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(2,556)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Equivalent in thousands of Mexican pesos</w:t>
            </w:r>
          </w:p>
        </w:tc>
        <w:tc>
          <w:tcPr>
            <w:tcW w:w="2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(35,733)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(272,509)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92" w:hanging="446"/>
        <w:spacing w:after="0"/>
        <w:tabs>
          <w:tab w:leader="none" w:pos="8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Transactions denominated in foreign currency were as follows:</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5380" w:type="dxa"/>
            <w:vAlign w:val="bottom"/>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080" w:type="dxa"/>
            <w:vAlign w:val="bottom"/>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2009</w:t>
            </w:r>
          </w:p>
        </w:tc>
      </w:tr>
      <w:tr>
        <w:trPr>
          <w:trHeight w:val="161"/>
        </w:trPr>
        <w:tc>
          <w:tcPr>
            <w:tcW w:w="2140" w:type="dxa"/>
            <w:vAlign w:val="bottom"/>
          </w:tcPr>
          <w:p>
            <w:pPr>
              <w:spacing w:after="0"/>
              <w:rPr>
                <w:sz w:val="14"/>
                <w:szCs w:val="14"/>
                <w:color w:val="auto"/>
              </w:rPr>
            </w:pPr>
          </w:p>
        </w:tc>
        <w:tc>
          <w:tcPr>
            <w:tcW w:w="5380" w:type="dxa"/>
            <w:vAlign w:val="bottom"/>
          </w:tcPr>
          <w:p>
            <w:pPr>
              <w:jc w:val="right"/>
              <w:ind w:right="3440"/>
              <w:spacing w:after="0"/>
              <w:rPr>
                <w:sz w:val="20"/>
                <w:szCs w:val="20"/>
                <w:color w:val="auto"/>
              </w:rPr>
            </w:pPr>
            <w:r>
              <w:rPr>
                <w:rFonts w:ascii="Arial" w:cs="Arial" w:eastAsia="Arial" w:hAnsi="Arial"/>
                <w:sz w:val="14"/>
                <w:szCs w:val="14"/>
                <w:b w:val="1"/>
                <w:bCs w:val="1"/>
                <w:color w:val="auto"/>
              </w:rPr>
              <w:t>(Thousands of U.S. dollars)</w:t>
            </w: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jc w:val="right"/>
              <w:ind w:right="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Import purchases</w:t>
            </w:r>
          </w:p>
        </w:tc>
        <w:tc>
          <w:tcPr>
            <w:tcW w:w="53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183,755</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151,944</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120,977</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Acquisition of fixed assets</w:t>
            </w:r>
          </w:p>
        </w:tc>
        <w:tc>
          <w:tcPr>
            <w:tcW w:w="5380" w:type="dxa"/>
            <w:vAlign w:val="bottom"/>
          </w:tcPr>
          <w:p>
            <w:pPr>
              <w:jc w:val="right"/>
              <w:ind w:right="120"/>
              <w:spacing w:after="0"/>
              <w:rPr>
                <w:sz w:val="20"/>
                <w:szCs w:val="20"/>
                <w:color w:val="auto"/>
              </w:rPr>
            </w:pPr>
            <w:r>
              <w:rPr>
                <w:rFonts w:ascii="Arial" w:cs="Arial" w:eastAsia="Arial" w:hAnsi="Arial"/>
                <w:sz w:val="18"/>
                <w:szCs w:val="18"/>
                <w:color w:val="auto"/>
              </w:rPr>
              <w:t>18,657</w:t>
            </w:r>
          </w:p>
        </w:tc>
        <w:tc>
          <w:tcPr>
            <w:tcW w:w="1080" w:type="dxa"/>
            <w:vAlign w:val="bottom"/>
          </w:tcPr>
          <w:p>
            <w:pPr>
              <w:jc w:val="right"/>
              <w:ind w:right="120"/>
              <w:spacing w:after="0"/>
              <w:rPr>
                <w:sz w:val="20"/>
                <w:szCs w:val="20"/>
                <w:color w:val="auto"/>
              </w:rPr>
            </w:pPr>
            <w:r>
              <w:rPr>
                <w:rFonts w:ascii="Arial" w:cs="Arial" w:eastAsia="Arial" w:hAnsi="Arial"/>
                <w:sz w:val="18"/>
                <w:szCs w:val="18"/>
                <w:color w:val="auto"/>
              </w:rPr>
              <w:t>19,825</w:t>
            </w: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4,551</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3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r>
    </w:tbl>
    <w:p>
      <w:pPr>
        <w:spacing w:after="0" w:line="194" w:lineRule="exact"/>
        <w:rPr>
          <w:sz w:val="20"/>
          <w:szCs w:val="20"/>
          <w:color w:val="auto"/>
        </w:rPr>
      </w:pPr>
    </w:p>
    <w:p>
      <w:pPr>
        <w:ind w:left="892" w:hanging="446"/>
        <w:spacing w:after="0" w:line="268" w:lineRule="auto"/>
        <w:tabs>
          <w:tab w:leader="none" w:pos="8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Mexican peso exchange rates in effect at the dates of the consolidated balance sheets and the date of the related independent auditors’ report were as follows:</w:t>
      </w:r>
    </w:p>
    <w:p>
      <w:pPr>
        <w:spacing w:after="0" w:line="156"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w w:val="98"/>
              </w:rPr>
              <w:t>February 15,</w:t>
            </w:r>
          </w:p>
        </w:tc>
      </w:tr>
      <w:tr>
        <w:trPr>
          <w:trHeight w:val="149"/>
        </w:trPr>
        <w:tc>
          <w:tcPr>
            <w:tcW w:w="4400" w:type="dxa"/>
            <w:vAlign w:val="bottom"/>
          </w:tcPr>
          <w:p>
            <w:pPr>
              <w:spacing w:after="0"/>
              <w:rPr>
                <w:sz w:val="12"/>
                <w:szCs w:val="12"/>
                <w:color w:val="auto"/>
              </w:rPr>
            </w:pPr>
          </w:p>
        </w:tc>
        <w:tc>
          <w:tcPr>
            <w:tcW w:w="24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2011</w:t>
            </w:r>
          </w:p>
        </w:tc>
        <w:tc>
          <w:tcPr>
            <w:tcW w:w="1600" w:type="dxa"/>
            <w:vAlign w:val="bottom"/>
          </w:tcPr>
          <w:p>
            <w:pPr>
              <w:jc w:val="right"/>
              <w:ind w:right="447"/>
              <w:spacing w:after="0" w:line="14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68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2012</w:t>
            </w:r>
          </w:p>
        </w:tc>
      </w:tr>
      <w:tr>
        <w:trPr>
          <w:trHeight w:val="161"/>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0" w:type="dxa"/>
            <w:vAlign w:val="bottom"/>
          </w:tcPr>
          <w:p>
            <w:pPr>
              <w:ind w:left="600"/>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Mexican pesos per one U. S. dollar</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600" w:type="dxa"/>
            <w:vAlign w:val="bottom"/>
            <w:shd w:val="clear" w:color="auto" w:fill="CCEEFF"/>
          </w:tcPr>
          <w:p>
            <w:pPr>
              <w:jc w:val="right"/>
              <w:ind w:right="227"/>
              <w:spacing w:after="0"/>
              <w:rPr>
                <w:sz w:val="20"/>
                <w:szCs w:val="20"/>
                <w:color w:val="auto"/>
              </w:rPr>
            </w:pPr>
            <w:r>
              <w:rPr>
                <w:rFonts w:ascii="Arial" w:cs="Arial" w:eastAsia="Arial" w:hAnsi="Arial"/>
                <w:sz w:val="18"/>
                <w:szCs w:val="18"/>
                <w:color w:val="auto"/>
              </w:rPr>
              <w:t>$   12.38</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12.77</w:t>
            </w:r>
          </w:p>
        </w:tc>
      </w:tr>
    </w:tbl>
    <w:p>
      <w:pPr>
        <w:spacing w:after="0" w:line="269" w:lineRule="exact"/>
        <w:rPr>
          <w:sz w:val="20"/>
          <w:szCs w:val="20"/>
          <w:color w:val="auto"/>
        </w:rPr>
      </w:pPr>
    </w:p>
    <w:p>
      <w:pPr>
        <w:ind w:left="452" w:hanging="452"/>
        <w:spacing w:after="0"/>
        <w:tabs>
          <w:tab w:leader="none" w:pos="45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and balances with related parties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Transactions with related parties, carried out in the ordinary course of business, were as follows:</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2009</w:t>
            </w:r>
          </w:p>
        </w:tc>
      </w:tr>
      <w:tr>
        <w:trPr>
          <w:trHeight w:val="161"/>
        </w:trPr>
        <w:tc>
          <w:tcPr>
            <w:tcW w:w="42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(Unaudited)</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Restaurantes Toks, S. A. de C. V.</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$ 1,144</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   1,110</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646</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Servicios Gastronómicos Gigante, S. A.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155</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Servicios Toks, S. A. de C. V.</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146</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181</w:t>
            </w:r>
          </w:p>
        </w:tc>
        <w:tc>
          <w:tcPr>
            <w:tcW w:w="4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226</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Distribuidora Store Home, S. A.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76</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w w:val="98"/>
              </w:rPr>
              <w:t>Unidad de Servicios Compartidos, S. A. de C. V.</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Grupo Gigante, S. A. B.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Gigante, S.A. de C. V.</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56</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Gigante Grupo Inmobiliario, S. A.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Inmobiliarias Toks, S. A. de C. V.</w:t>
            </w:r>
          </w:p>
        </w:tc>
        <w:tc>
          <w:tcPr>
            <w:tcW w:w="28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68</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related parties</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1,778</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3,735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5,070</w:t>
            </w:r>
          </w:p>
        </w:tc>
      </w:tr>
      <w:tr>
        <w:trPr>
          <w:trHeight w:val="323"/>
        </w:trPr>
        <w:tc>
          <w:tcPr>
            <w:tcW w:w="4280" w:type="dxa"/>
            <w:vAlign w:val="bottom"/>
          </w:tcPr>
          <w:p>
            <w:pPr>
              <w:spacing w:after="0"/>
              <w:rPr>
                <w:sz w:val="20"/>
                <w:szCs w:val="20"/>
                <w:color w:val="auto"/>
              </w:rPr>
            </w:pPr>
            <w:r>
              <w:rPr>
                <w:rFonts w:ascii="Arial" w:cs="Arial" w:eastAsia="Arial" w:hAnsi="Arial"/>
                <w:sz w:val="18"/>
                <w:szCs w:val="18"/>
                <w:b w:val="1"/>
                <w:bCs w:val="1"/>
                <w:color w:val="auto"/>
              </w:rPr>
              <w:t>Leases and maintenance income:</w:t>
            </w:r>
          </w:p>
        </w:tc>
        <w:tc>
          <w:tcPr>
            <w:tcW w:w="2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Restaurantes Toks, S. A.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11,244</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10,086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9,134</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Distribuidora Store Home, S. A. de C. V.</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3,004</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2,400</w:t>
            </w:r>
          </w:p>
        </w:tc>
        <w:tc>
          <w:tcPr>
            <w:tcW w:w="4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373</w:t>
            </w: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Servicios Toks, S. A. de C. V.</w:t>
            </w:r>
          </w:p>
        </w:tc>
        <w:tc>
          <w:tcPr>
            <w:tcW w:w="28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2,277</w:t>
            </w:r>
          </w:p>
        </w:tc>
        <w:tc>
          <w:tcPr>
            <w:tcW w:w="13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2,188</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1,892</w:t>
            </w: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Other related parties</w:t>
            </w:r>
          </w:p>
        </w:tc>
        <w:tc>
          <w:tcPr>
            <w:tcW w:w="2820" w:type="dxa"/>
            <w:vAlign w:val="bottom"/>
          </w:tcPr>
          <w:p>
            <w:pPr>
              <w:jc w:val="right"/>
              <w:ind w:right="233"/>
              <w:spacing w:after="0"/>
              <w:rPr>
                <w:sz w:val="20"/>
                <w:szCs w:val="20"/>
                <w:color w:val="auto"/>
              </w:rPr>
            </w:pPr>
            <w:r>
              <w:rPr>
                <w:rFonts w:ascii="Arial" w:cs="Arial" w:eastAsia="Arial" w:hAnsi="Arial"/>
                <w:sz w:val="18"/>
                <w:szCs w:val="18"/>
                <w:color w:val="auto"/>
              </w:rPr>
              <w:t>1,167</w:t>
            </w: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1,119</w:t>
            </w:r>
          </w:p>
        </w:tc>
        <w:tc>
          <w:tcPr>
            <w:tcW w:w="4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1,062</w:t>
            </w:r>
          </w:p>
        </w:tc>
      </w:tr>
      <w:tr>
        <w:trPr>
          <w:trHeight w:val="356"/>
        </w:trPr>
        <w:tc>
          <w:tcPr>
            <w:tcW w:w="4280" w:type="dxa"/>
            <w:vAlign w:val="bottom"/>
          </w:tcPr>
          <w:p>
            <w:pPr>
              <w:spacing w:after="0"/>
              <w:rPr>
                <w:sz w:val="24"/>
                <w:szCs w:val="24"/>
                <w:color w:val="auto"/>
              </w:rPr>
            </w:pPr>
          </w:p>
        </w:tc>
        <w:tc>
          <w:tcPr>
            <w:tcW w:w="2820" w:type="dxa"/>
            <w:vAlign w:val="bottom"/>
          </w:tcPr>
          <w:p>
            <w:pPr>
              <w:jc w:val="right"/>
              <w:ind w:right="2133"/>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12"/>
          </w:cols>
          <w:pgMar w:left="248" w:top="274" w:right="33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Leases, maintenance and other expenses:</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rPr>
              <w:t>Gigante Grupo Inmobiliario</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38,891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32,433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30,845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Office Depot, Inc.</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rPr>
              <w:t>Gigante, S. A. de C. V.</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related parties</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Grupo Gigante, S. A. B. de C. V.</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Acquisition and vehicles maintenance:</w:t>
            </w: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Ola Polanco, S. A. de C. V.</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rPr>
              <w:t>Nami Naucalpan, S. A. de C. V.</w:t>
            </w:r>
          </w:p>
        </w:tc>
        <w:tc>
          <w:tcPr>
            <w:tcW w:w="20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Services paid:</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w w:val="99"/>
              </w:rPr>
              <w:t>Compañía Mexicana de Aviación, S. A. de C. V.</w:t>
            </w:r>
          </w:p>
        </w:tc>
        <w:tc>
          <w:tcPr>
            <w:tcW w:w="20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3,654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Intermediation commissions paid:</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rPr>
              <w:t>Office Depot Asia Holding Limited</w:t>
            </w:r>
          </w:p>
        </w:tc>
        <w:tc>
          <w:tcPr>
            <w:tcW w:w="20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17,526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Purchase of inventories:</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ind w:left="440"/>
              <w:spacing w:after="0"/>
              <w:rPr>
                <w:sz w:val="20"/>
                <w:szCs w:val="20"/>
                <w:color w:val="auto"/>
              </w:rPr>
            </w:pPr>
            <w:r>
              <w:rPr>
                <w:rFonts w:ascii="Arial" w:cs="Arial" w:eastAsia="Arial" w:hAnsi="Arial"/>
                <w:sz w:val="18"/>
                <w:szCs w:val="18"/>
                <w:color w:val="auto"/>
              </w:rPr>
              <w:t>Office Depot Asia Holding Limited</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269,706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17,424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Office Depot Japan</w:t>
            </w:r>
          </w:p>
        </w:tc>
        <w:tc>
          <w:tcPr>
            <w:tcW w:w="2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417"/>
        </w:trPr>
        <w:tc>
          <w:tcPr>
            <w:tcW w:w="740" w:type="dxa"/>
            <w:vAlign w:val="bottom"/>
          </w:tcPr>
          <w:p>
            <w:pPr>
              <w:ind w:left="460"/>
              <w:spacing w:after="0"/>
              <w:rPr>
                <w:sz w:val="20"/>
                <w:szCs w:val="20"/>
                <w:color w:val="auto"/>
              </w:rPr>
            </w:pPr>
            <w:r>
              <w:rPr>
                <w:rFonts w:ascii="Arial" w:cs="Arial" w:eastAsia="Arial" w:hAnsi="Arial"/>
                <w:sz w:val="18"/>
                <w:szCs w:val="18"/>
                <w:color w:val="auto"/>
              </w:rPr>
              <w:t>b.</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Balances due from related parties are as follows:</w:t>
            </w: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8"/>
          </w:tcPr>
          <w:p>
            <w:pPr>
              <w:ind w:lef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Restaurantes Toks, S. A. de C. V.</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Servicios Toks, S. A. de C. V.</w:t>
            </w: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Grupo Gigante S. A. B. de C. V.</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Distribuidora Storehome, S. A. de C. V.</w:t>
            </w: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8"/>
              </w:rPr>
              <w:t>Servicios Gastronómicos Gigante, S. A. de C. V.</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Gigante, S. A. de C. V.</w:t>
            </w: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2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13.   Other expenses</w:t>
            </w:r>
          </w:p>
        </w:tc>
        <w:tc>
          <w:tcPr>
            <w:tcW w:w="2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200" w:type="dxa"/>
            <w:vAlign w:val="bottom"/>
            <w:gridSpan w:val="4"/>
            <w:vMerge w:val="continue"/>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 w:type="dxa"/>
            <w:vAlign w:val="bottom"/>
          </w:tcPr>
          <w:p>
            <w:pPr>
              <w:ind w:left="460"/>
              <w:spacing w:after="0"/>
              <w:rPr>
                <w:sz w:val="20"/>
                <w:szCs w:val="20"/>
                <w:color w:val="auto"/>
              </w:rPr>
            </w:pPr>
            <w:r>
              <w:rPr>
                <w:rFonts w:ascii="Arial" w:cs="Arial" w:eastAsia="Arial" w:hAnsi="Arial"/>
                <w:sz w:val="18"/>
                <w:szCs w:val="18"/>
                <w:color w:val="auto"/>
              </w:rPr>
              <w:t>a.</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Detail is as follows:</w:t>
            </w: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(Unaudited)</w:t>
            </w:r>
          </w:p>
        </w:tc>
        <w:tc>
          <w:tcPr>
            <w:tcW w:w="30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PTU</w:t>
            </w:r>
          </w:p>
        </w:tc>
        <w:tc>
          <w:tcPr>
            <w:tcW w:w="2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(10,265)</w:t>
            </w:r>
          </w:p>
        </w:tc>
        <w:tc>
          <w:tcPr>
            <w:tcW w:w="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(7,804)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Colombian equity tax</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color w:val="auto"/>
              </w:rPr>
              <w:t>(39,334)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sale of fixed assets</w:t>
            </w:r>
          </w:p>
        </w:tc>
        <w:tc>
          <w:tcPr>
            <w:tcW w:w="2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(15,520)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(48,452)</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(23,324)</w:t>
            </w:r>
          </w:p>
        </w:tc>
        <w:tc>
          <w:tcPr>
            <w:tcW w:w="140" w:type="dxa"/>
            <w:vAlign w:val="bottom"/>
          </w:tcPr>
          <w:p>
            <w:pPr>
              <w:spacing w:after="0"/>
              <w:rPr>
                <w:sz w:val="19"/>
                <w:szCs w:val="19"/>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vMerge w:val="restart"/>
          </w:tcPr>
          <w:p>
            <w:pPr>
              <w:jc w:val="right"/>
              <w:ind w:right="1376"/>
              <w:spacing w:after="0"/>
              <w:rPr>
                <w:sz w:val="20"/>
                <w:szCs w:val="20"/>
                <w:color w:val="auto"/>
              </w:rPr>
            </w:pPr>
            <w:r>
              <w:rPr>
                <w:rFonts w:ascii="Arial" w:cs="Arial" w:eastAsia="Arial" w:hAnsi="Arial"/>
                <w:sz w:val="18"/>
                <w:szCs w:val="18"/>
                <w:color w:val="auto"/>
              </w:rPr>
              <w:t>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830" w:right="1159" w:bottom="1440" w:gutter="0" w:footer="0" w:header="0"/>
        </w:sectPr>
      </w:pPr>
    </w:p>
    <w:bookmarkStart w:id="227" w:name="page228"/>
    <w:bookmarkEnd w:id="227"/>
    <w:p>
      <w:pPr>
        <w:ind w:left="892" w:hanging="446"/>
        <w:spacing w:after="0"/>
        <w:tabs>
          <w:tab w:leader="none" w:pos="8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PTU is as follows:</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1"/>
        </w:trPr>
        <w:tc>
          <w:tcPr>
            <w:tcW w:w="6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PTU:</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2"/>
              </w:rPr>
              <w:t>$ (10,186)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(8,822)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r>
      <w:tr>
        <w:trPr>
          <w:trHeight w:val="20"/>
        </w:trPr>
        <w:tc>
          <w:tcPr>
            <w:tcW w:w="6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3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(10,265)</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(7,804)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(5,929)</w:t>
            </w:r>
          </w:p>
        </w:tc>
      </w:tr>
      <w:tr>
        <w:trPr>
          <w:trHeight w:val="20"/>
        </w:trPr>
        <w:tc>
          <w:tcPr>
            <w:tcW w:w="6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12" w:right="660"/>
        <w:spacing w:after="0" w:line="268" w:lineRule="auto"/>
        <w:rPr>
          <w:sz w:val="20"/>
          <w:szCs w:val="20"/>
          <w:color w:val="auto"/>
        </w:rPr>
      </w:pPr>
      <w:r>
        <w:rPr>
          <w:rFonts w:ascii="Arial" w:cs="Arial" w:eastAsia="Arial" w:hAnsi="Arial"/>
          <w:sz w:val="18"/>
          <w:szCs w:val="18"/>
          <w:color w:val="auto"/>
        </w:rPr>
        <w:t>The main items that give rise to deferred PTU asset as of December 31, 2011and 2010 (unaudited) are accrued expenses for $798 and $877, respectively.</w:t>
      </w:r>
    </w:p>
    <w:p>
      <w:pPr>
        <w:spacing w:after="0" w:line="248" w:lineRule="exact"/>
        <w:rPr>
          <w:sz w:val="20"/>
          <w:szCs w:val="20"/>
          <w:color w:val="auto"/>
        </w:rPr>
      </w:pPr>
    </w:p>
    <w:p>
      <w:pPr>
        <w:ind w:left="452" w:right="9100" w:hanging="452"/>
        <w:spacing w:after="0" w:line="417" w:lineRule="auto"/>
        <w:tabs>
          <w:tab w:leader="none" w:pos="441"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Tax environment </w:t>
      </w:r>
      <w:r>
        <w:rPr>
          <w:rFonts w:ascii="Arial" w:cs="Arial" w:eastAsia="Arial" w:hAnsi="Arial"/>
          <w:sz w:val="15"/>
          <w:szCs w:val="15"/>
          <w:b w:val="1"/>
          <w:bCs w:val="1"/>
          <w:i w:val="1"/>
          <w:iCs w:val="1"/>
          <w:color w:val="auto"/>
        </w:rPr>
        <w:t>Income taxes in Mexico -</w:t>
      </w: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The Company is subject to ISR and IETU.</w:t>
      </w:r>
    </w:p>
    <w:p>
      <w:pPr>
        <w:spacing w:after="0" w:line="171"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The ISR rate is 30% for 2010 through 2012 and was 28% in 2009; it will be 29% for 2013 and 28% for 2014.</w:t>
      </w:r>
    </w:p>
    <w:p>
      <w:pPr>
        <w:spacing w:after="0" w:line="171" w:lineRule="exact"/>
        <w:rPr>
          <w:rFonts w:ascii="Arial" w:cs="Arial" w:eastAsia="Arial" w:hAnsi="Arial"/>
          <w:sz w:val="15"/>
          <w:szCs w:val="15"/>
          <w:b w:val="1"/>
          <w:bCs w:val="1"/>
          <w:color w:val="auto"/>
        </w:rPr>
      </w:pPr>
    </w:p>
    <w:p>
      <w:pPr>
        <w:ind w:left="452"/>
        <w:spacing w:after="0" w:line="306" w:lineRule="auto"/>
        <w:rPr>
          <w:rFonts w:ascii="Arial" w:cs="Arial" w:eastAsia="Arial" w:hAnsi="Arial"/>
          <w:sz w:val="15"/>
          <w:szCs w:val="15"/>
          <w:b w:val="1"/>
          <w:bCs w:val="1"/>
          <w:color w:val="auto"/>
        </w:rPr>
      </w:pPr>
      <w:r>
        <w:rPr>
          <w:rFonts w:ascii="Arial" w:cs="Arial" w:eastAsia="Arial" w:hAnsi="Arial"/>
          <w:sz w:val="16"/>
          <w:szCs w:val="16"/>
          <w:color w:val="auto"/>
        </w:rPr>
        <w:t>IETU—Revenues, as well as deductions and certain tax credits, are determined based on cash flows of each fiscal year. Beginning in 2010, the IETU rate is 17.5%, and it was 17% in 2009. The Asset Tax (IMPAC) Law was repealed upon enactment of the IETU Law; however, under certain circumstances, IMPAC paid in the ten years prior to the year in which ISR is paid for the first time, may be recovered, according to the terms of the law.</w:t>
      </w:r>
    </w:p>
    <w:p>
      <w:pPr>
        <w:spacing w:after="0" w:line="106"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Income tax incurred will be the higher of ISR and IETU.</w:t>
      </w:r>
    </w:p>
    <w:p>
      <w:pPr>
        <w:spacing w:after="0" w:line="171" w:lineRule="exact"/>
        <w:rPr>
          <w:rFonts w:ascii="Arial" w:cs="Arial" w:eastAsia="Arial" w:hAnsi="Arial"/>
          <w:sz w:val="15"/>
          <w:szCs w:val="15"/>
          <w:b w:val="1"/>
          <w:bCs w:val="1"/>
          <w:color w:val="auto"/>
        </w:rPr>
      </w:pPr>
    </w:p>
    <w:p>
      <w:pPr>
        <w:ind w:left="452" w:right="3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Based on its financial projections and according to Interpretation of Financial Information Standard (“INIF”) 8, Effects of the Business Flat Tax, the Company determined that certain subsidiaries will pay ISR while others will pay IETU. Therefore, deferred income taxes are calculated under both tax regimes.</w:t>
      </w:r>
    </w:p>
    <w:p>
      <w:pPr>
        <w:spacing w:after="0" w:line="221"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Income taxes in other countries -</w:t>
      </w:r>
    </w:p>
    <w:p>
      <w:pPr>
        <w:spacing w:after="0" w:line="90"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The foreign subsidiaries calculate income taxes on their individual results, in accordance with the regulations of each country.</w:t>
      </w:r>
    </w:p>
    <w:p>
      <w:pPr>
        <w:spacing w:after="0" w:line="171"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6"/>
          <w:szCs w:val="16"/>
          <w:color w:val="auto"/>
        </w:rPr>
        <w:t>The tax rates applicable in other countries where the Company operates and the period in which tax losses may be applied, are as follows:</w:t>
      </w:r>
    </w:p>
    <w:p>
      <w:pPr>
        <w:spacing w:after="0" w:line="230" w:lineRule="exact"/>
        <w:rPr>
          <w:sz w:val="20"/>
          <w:szCs w:val="20"/>
          <w:color w:val="auto"/>
        </w:rPr>
      </w:pPr>
    </w:p>
    <w:tbl>
      <w:tblPr>
        <w:tblLayout w:type="fixed"/>
        <w:tblInd w:w="452"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560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Statutory income tax rate (%)</w:t>
            </w:r>
          </w:p>
        </w:tc>
        <w:tc>
          <w:tcPr>
            <w:tcW w:w="940" w:type="dxa"/>
            <w:vAlign w:val="bottom"/>
          </w:tcPr>
          <w:p>
            <w:pPr>
              <w:jc w:val="center"/>
              <w:ind w:left="57"/>
              <w:spacing w:after="0"/>
              <w:rPr>
                <w:sz w:val="20"/>
                <w:szCs w:val="20"/>
                <w:color w:val="auto"/>
              </w:rPr>
            </w:pPr>
            <w:r>
              <w:rPr>
                <w:rFonts w:ascii="Arial" w:cs="Arial" w:eastAsia="Arial" w:hAnsi="Arial"/>
                <w:sz w:val="14"/>
                <w:szCs w:val="14"/>
                <w:b w:val="1"/>
                <w:bCs w:val="1"/>
                <w:color w:val="auto"/>
                <w:w w:val="85"/>
              </w:rPr>
              <w:t>Period of</w:t>
            </w:r>
          </w:p>
        </w:tc>
      </w:tr>
      <w:tr>
        <w:trPr>
          <w:trHeight w:val="161"/>
        </w:trPr>
        <w:tc>
          <w:tcPr>
            <w:tcW w:w="3960" w:type="dxa"/>
            <w:vAlign w:val="bottom"/>
          </w:tcPr>
          <w:p>
            <w:pPr>
              <w:spacing w:after="0"/>
              <w:rPr>
                <w:sz w:val="14"/>
                <w:szCs w:val="14"/>
                <w:color w:val="auto"/>
              </w:rPr>
            </w:pPr>
          </w:p>
        </w:tc>
        <w:tc>
          <w:tcPr>
            <w:tcW w:w="3760" w:type="dxa"/>
            <w:vAlign w:val="bottom"/>
          </w:tcPr>
          <w:p>
            <w:pPr>
              <w:jc w:val="right"/>
              <w:ind w:right="277"/>
              <w:spacing w:after="0"/>
              <w:rPr>
                <w:sz w:val="20"/>
                <w:szCs w:val="20"/>
                <w:color w:val="auto"/>
              </w:rPr>
            </w:pPr>
            <w:r>
              <w:rPr>
                <w:rFonts w:ascii="Arial" w:cs="Arial" w:eastAsia="Arial" w:hAnsi="Arial"/>
                <w:sz w:val="14"/>
                <w:szCs w:val="14"/>
                <w:b w:val="1"/>
                <w:bCs w:val="1"/>
                <w:color w:val="auto"/>
              </w:rPr>
              <w:t>2011</w:t>
            </w: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2010</w:t>
            </w: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jc w:val="center"/>
              <w:ind w:left="57"/>
              <w:spacing w:after="0"/>
              <w:rPr>
                <w:sz w:val="20"/>
                <w:szCs w:val="20"/>
                <w:color w:val="auto"/>
              </w:rPr>
            </w:pPr>
            <w:r>
              <w:rPr>
                <w:rFonts w:ascii="Arial" w:cs="Arial" w:eastAsia="Arial" w:hAnsi="Arial"/>
                <w:sz w:val="14"/>
                <w:szCs w:val="14"/>
                <w:b w:val="1"/>
                <w:bCs w:val="1"/>
                <w:color w:val="auto"/>
                <w:w w:val="89"/>
              </w:rPr>
              <w:t>expiration</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3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33.0</w:t>
            </w: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33.0</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33.0</w:t>
            </w:r>
          </w:p>
        </w:tc>
        <w:tc>
          <w:tcPr>
            <w:tcW w:w="94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0"/>
              </w:rPr>
              <w:t>(a)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Costa Rica</w:t>
            </w:r>
          </w:p>
        </w:tc>
        <w:tc>
          <w:tcPr>
            <w:tcW w:w="3760" w:type="dxa"/>
            <w:vAlign w:val="bottom"/>
          </w:tcPr>
          <w:p>
            <w:pPr>
              <w:jc w:val="right"/>
              <w:ind w:right="197"/>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215"/>
              <w:spacing w:after="0"/>
              <w:rPr>
                <w:sz w:val="20"/>
                <w:szCs w:val="20"/>
                <w:color w:val="auto"/>
              </w:rPr>
            </w:pPr>
            <w:r>
              <w:rPr>
                <w:rFonts w:ascii="Arial" w:cs="Arial" w:eastAsia="Arial" w:hAnsi="Arial"/>
                <w:sz w:val="18"/>
                <w:szCs w:val="18"/>
                <w:color w:val="auto"/>
              </w:rPr>
              <w:t>30.0</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30.0</w:t>
            </w:r>
          </w:p>
        </w:tc>
        <w:tc>
          <w:tcPr>
            <w:tcW w:w="940" w:type="dxa"/>
            <w:vAlign w:val="bottom"/>
          </w:tcPr>
          <w:p>
            <w:pPr>
              <w:jc w:val="center"/>
              <w:ind w:left="557"/>
              <w:spacing w:after="0"/>
              <w:rPr>
                <w:sz w:val="20"/>
                <w:szCs w:val="20"/>
                <w:color w:val="auto"/>
              </w:rPr>
            </w:pPr>
            <w:r>
              <w:rPr>
                <w:rFonts w:ascii="Arial" w:cs="Arial" w:eastAsia="Arial" w:hAnsi="Arial"/>
                <w:sz w:val="18"/>
                <w:szCs w:val="18"/>
                <w:color w:val="auto"/>
                <w:w w:val="99"/>
              </w:rPr>
              <w:t>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El Salvador</w:t>
            </w:r>
          </w:p>
        </w:tc>
        <w:tc>
          <w:tcPr>
            <w:tcW w:w="3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25.0</w:t>
            </w: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25.0</w:t>
            </w:r>
          </w:p>
        </w:tc>
        <w:tc>
          <w:tcPr>
            <w:tcW w:w="94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99"/>
              </w:rPr>
              <w:t>(b)</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Guatemala</w:t>
            </w:r>
          </w:p>
        </w:tc>
        <w:tc>
          <w:tcPr>
            <w:tcW w:w="3760" w:type="dxa"/>
            <w:vAlign w:val="bottom"/>
          </w:tcPr>
          <w:p>
            <w:pPr>
              <w:jc w:val="right"/>
              <w:ind w:right="197"/>
              <w:spacing w:after="0"/>
              <w:rPr>
                <w:sz w:val="20"/>
                <w:szCs w:val="20"/>
                <w:color w:val="auto"/>
              </w:rPr>
            </w:pPr>
            <w:r>
              <w:rPr>
                <w:rFonts w:ascii="Arial" w:cs="Arial" w:eastAsia="Arial" w:hAnsi="Arial"/>
                <w:sz w:val="18"/>
                <w:szCs w:val="18"/>
                <w:color w:val="auto"/>
              </w:rPr>
              <w:t>31.0</w:t>
            </w:r>
          </w:p>
        </w:tc>
        <w:tc>
          <w:tcPr>
            <w:tcW w:w="940" w:type="dxa"/>
            <w:vAlign w:val="bottom"/>
          </w:tcPr>
          <w:p>
            <w:pPr>
              <w:jc w:val="right"/>
              <w:ind w:right="215"/>
              <w:spacing w:after="0"/>
              <w:rPr>
                <w:sz w:val="20"/>
                <w:szCs w:val="20"/>
                <w:color w:val="auto"/>
              </w:rPr>
            </w:pPr>
            <w:r>
              <w:rPr>
                <w:rFonts w:ascii="Arial" w:cs="Arial" w:eastAsia="Arial" w:hAnsi="Arial"/>
                <w:sz w:val="18"/>
                <w:szCs w:val="18"/>
                <w:color w:val="auto"/>
              </w:rPr>
              <w:t>31.0</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31.0</w:t>
            </w:r>
          </w:p>
        </w:tc>
        <w:tc>
          <w:tcPr>
            <w:tcW w:w="940" w:type="dxa"/>
            <w:vAlign w:val="bottom"/>
          </w:tcPr>
          <w:p>
            <w:pPr>
              <w:jc w:val="center"/>
              <w:ind w:left="557"/>
              <w:spacing w:after="0"/>
              <w:rPr>
                <w:sz w:val="20"/>
                <w:szCs w:val="20"/>
                <w:color w:val="auto"/>
              </w:rPr>
            </w:pPr>
            <w:r>
              <w:rPr>
                <w:rFonts w:ascii="Arial" w:cs="Arial" w:eastAsia="Arial" w:hAnsi="Arial"/>
                <w:sz w:val="18"/>
                <w:szCs w:val="18"/>
                <w:color w:val="auto"/>
                <w:w w:val="99"/>
              </w:rPr>
              <w:t>(b)</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Honduras</w:t>
            </w:r>
          </w:p>
        </w:tc>
        <w:tc>
          <w:tcPr>
            <w:tcW w:w="3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35.0</w:t>
            </w:r>
          </w:p>
        </w:tc>
        <w:tc>
          <w:tcPr>
            <w:tcW w:w="9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35.0</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30.0</w:t>
            </w:r>
          </w:p>
        </w:tc>
        <w:tc>
          <w:tcPr>
            <w:tcW w:w="94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99"/>
              </w:rPr>
              <w:t>4</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Panama</w:t>
            </w:r>
          </w:p>
        </w:tc>
        <w:tc>
          <w:tcPr>
            <w:tcW w:w="3760" w:type="dxa"/>
            <w:vAlign w:val="bottom"/>
          </w:tcPr>
          <w:p>
            <w:pPr>
              <w:jc w:val="right"/>
              <w:ind w:right="197"/>
              <w:spacing w:after="0"/>
              <w:rPr>
                <w:sz w:val="20"/>
                <w:szCs w:val="20"/>
                <w:color w:val="auto"/>
              </w:rPr>
            </w:pPr>
            <w:r>
              <w:rPr>
                <w:rFonts w:ascii="Arial" w:cs="Arial" w:eastAsia="Arial" w:hAnsi="Arial"/>
                <w:sz w:val="18"/>
                <w:szCs w:val="18"/>
                <w:color w:val="auto"/>
              </w:rPr>
              <w:t>25.0</w:t>
            </w:r>
          </w:p>
        </w:tc>
        <w:tc>
          <w:tcPr>
            <w:tcW w:w="940" w:type="dxa"/>
            <w:vAlign w:val="bottom"/>
          </w:tcPr>
          <w:p>
            <w:pPr>
              <w:jc w:val="right"/>
              <w:ind w:right="215"/>
              <w:spacing w:after="0"/>
              <w:rPr>
                <w:sz w:val="20"/>
                <w:szCs w:val="20"/>
                <w:color w:val="auto"/>
              </w:rPr>
            </w:pPr>
            <w:r>
              <w:rPr>
                <w:rFonts w:ascii="Arial" w:cs="Arial" w:eastAsia="Arial" w:hAnsi="Arial"/>
                <w:sz w:val="18"/>
                <w:szCs w:val="18"/>
                <w:color w:val="auto"/>
              </w:rPr>
              <w:t>27.5</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30.0</w:t>
            </w:r>
          </w:p>
        </w:tc>
        <w:tc>
          <w:tcPr>
            <w:tcW w:w="940" w:type="dxa"/>
            <w:vAlign w:val="bottom"/>
          </w:tcPr>
          <w:p>
            <w:pPr>
              <w:jc w:val="center"/>
              <w:ind w:left="557"/>
              <w:spacing w:after="0"/>
              <w:rPr>
                <w:sz w:val="20"/>
                <w:szCs w:val="20"/>
                <w:color w:val="auto"/>
              </w:rPr>
            </w:pPr>
            <w:r>
              <w:rPr>
                <w:rFonts w:ascii="Arial" w:cs="Arial" w:eastAsia="Arial" w:hAnsi="Arial"/>
                <w:sz w:val="18"/>
                <w:szCs w:val="18"/>
                <w:color w:val="auto"/>
                <w:w w:val="99"/>
              </w:rPr>
              <w:t>5</w:t>
            </w:r>
          </w:p>
        </w:tc>
      </w:tr>
    </w:tbl>
    <w:p>
      <w:pPr>
        <w:spacing w:after="0" w:line="188" w:lineRule="exact"/>
        <w:rPr>
          <w:sz w:val="20"/>
          <w:szCs w:val="20"/>
          <w:color w:val="auto"/>
        </w:rPr>
      </w:pPr>
    </w:p>
    <w:p>
      <w:pPr>
        <w:ind w:left="452" w:right="60" w:hanging="452"/>
        <w:spacing w:after="0" w:line="254" w:lineRule="auto"/>
        <w:tabs>
          <w:tab w:leader="none" w:pos="4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Tax losses generated in 2006 may be amortized up to 25% in each fiscal year. Beginning 2007, tax losses may be amortized without limitation on the value or period.</w:t>
      </w:r>
    </w:p>
    <w:p>
      <w:pPr>
        <w:ind w:left="452" w:hanging="452"/>
        <w:spacing w:after="0"/>
        <w:tabs>
          <w:tab w:leader="none" w:pos="4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Operating losses are not amortizable.</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80" w:right="259" w:bottom="1440" w:gutter="0" w:footer="0" w:header="0"/>
        </w:sectPr>
      </w:pPr>
    </w:p>
    <w:bookmarkStart w:id="228" w:name="page229"/>
    <w:bookmarkEnd w:id="228"/>
    <w:p>
      <w:pPr>
        <w:ind w:left="1026" w:hanging="567"/>
        <w:spacing w:after="0"/>
        <w:tabs>
          <w:tab w:leader="none" w:pos="1026"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taxes are as follows:</w:t>
      </w:r>
    </w:p>
    <w:p>
      <w:pPr>
        <w:spacing w:after="0" w:line="195"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1"/>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(Unaudited)</w:t>
            </w:r>
          </w:p>
        </w:tc>
        <w:tc>
          <w:tcPr>
            <w:tcW w:w="2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ISR:</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Current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$398,200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$ 365,899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$ 345,316</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(41,574)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(43,345)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(58,857)</w:t>
            </w:r>
          </w:p>
        </w:tc>
      </w:tr>
      <w:tr>
        <w:trPr>
          <w:trHeight w:val="20"/>
        </w:trPr>
        <w:tc>
          <w:tcPr>
            <w:tcW w:w="6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3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356,626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322,554</w:t>
            </w:r>
          </w:p>
        </w:tc>
        <w:tc>
          <w:tcPr>
            <w:tcW w:w="3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286,459</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IETU:</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Current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25,728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23,892</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17,818</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r>
      <w:tr>
        <w:trPr>
          <w:trHeight w:val="20"/>
        </w:trPr>
        <w:tc>
          <w:tcPr>
            <w:tcW w:w="6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3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40,310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31,477</w:t>
            </w:r>
          </w:p>
        </w:tc>
        <w:tc>
          <w:tcPr>
            <w:tcW w:w="3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25,091</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396,936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$ 354,031</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$ 311,550</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6" w:hanging="446"/>
        <w:spacing w:after="0" w:line="268"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Income taxes and the reconciliation of the statutory and effective ISR rates, expressed in amounts and as a percentage of income before income taxes, are:</w:t>
      </w:r>
    </w:p>
    <w:p>
      <w:pPr>
        <w:spacing w:after="0" w:line="156"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Effects of inflation</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deductible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IETU</w:t>
            </w:r>
          </w:p>
        </w:tc>
        <w:tc>
          <w:tcPr>
            <w:tcW w:w="1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c.</w:t>
            </w:r>
          </w:p>
        </w:tc>
        <w:tc>
          <w:tcPr>
            <w:tcW w:w="4720" w:type="dxa"/>
            <w:vAlign w:val="bottom"/>
            <w:gridSpan w:val="3"/>
            <w:vMerge w:val="restart"/>
          </w:tcPr>
          <w:p>
            <w:pPr>
              <w:ind w:left="160"/>
              <w:spacing w:after="0"/>
              <w:rPr>
                <w:sz w:val="20"/>
                <w:szCs w:val="20"/>
                <w:color w:val="auto"/>
              </w:rPr>
            </w:pPr>
            <w:r>
              <w:rPr>
                <w:rFonts w:ascii="Arial" w:cs="Arial" w:eastAsia="Arial" w:hAnsi="Arial"/>
                <w:sz w:val="18"/>
                <w:szCs w:val="18"/>
                <w:color w:val="auto"/>
              </w:rPr>
              <w:t>The main items originating the deferred ISR asset are:</w:t>
            </w: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472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6"/>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 ISR asset:</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ind w:left="440"/>
              <w:spacing w:after="0"/>
              <w:rPr>
                <w:sz w:val="20"/>
                <w:szCs w:val="20"/>
                <w:color w:val="auto"/>
              </w:rPr>
            </w:pPr>
            <w:r>
              <w:rPr>
                <w:rFonts w:ascii="Arial" w:cs="Arial" w:eastAsia="Arial" w:hAnsi="Arial"/>
                <w:sz w:val="18"/>
                <w:szCs w:val="18"/>
                <w:color w:val="auto"/>
              </w:rPr>
              <w:t>Effect of tax loss carryforwards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78,229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Property, equipment and leasehold improvements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110,500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115,754</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ind w:left="440"/>
              <w:spacing w:after="0"/>
              <w:rPr>
                <w:sz w:val="20"/>
                <w:szCs w:val="20"/>
                <w:color w:val="auto"/>
              </w:rPr>
            </w:pPr>
            <w:r>
              <w:rPr>
                <w:rFonts w:ascii="Arial" w:cs="Arial" w:eastAsia="Arial" w:hAnsi="Arial"/>
                <w:sz w:val="18"/>
                <w:szCs w:val="18"/>
                <w:color w:val="auto"/>
              </w:rPr>
              <w:t>Accrued liabilities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17,422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8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ISR asset</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218,710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233,747</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ind w:left="460"/>
              <w:spacing w:after="0"/>
              <w:rPr>
                <w:sz w:val="20"/>
                <w:szCs w:val="20"/>
                <w:color w:val="auto"/>
              </w:rPr>
            </w:pPr>
            <w:r>
              <w:rPr>
                <w:rFonts w:ascii="Arial" w:cs="Arial" w:eastAsia="Arial" w:hAnsi="Arial"/>
                <w:sz w:val="18"/>
                <w:szCs w:val="18"/>
                <w:color w:val="auto"/>
              </w:rPr>
              <w:t>Deferred ISR liability:</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(55,539)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ind w:left="440"/>
              <w:spacing w:after="0"/>
              <w:rPr>
                <w:sz w:val="20"/>
                <w:szCs w:val="20"/>
                <w:color w:val="auto"/>
              </w:rPr>
            </w:pPr>
            <w:r>
              <w:rPr>
                <w:rFonts w:ascii="Arial" w:cs="Arial" w:eastAsia="Arial" w:hAnsi="Arial"/>
                <w:sz w:val="18"/>
                <w:szCs w:val="18"/>
                <w:color w:val="auto"/>
              </w:rPr>
              <w:t>Advanced payments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(19,957)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(31,523)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ISR liability</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(75,496)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(128,443)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gridSpan w:val="2"/>
            <w:vMerge w:val="restart"/>
          </w:tcPr>
          <w:p>
            <w:pPr>
              <w:ind w:left="460"/>
              <w:spacing w:after="0"/>
              <w:rPr>
                <w:sz w:val="20"/>
                <w:szCs w:val="20"/>
                <w:color w:val="auto"/>
              </w:rPr>
            </w:pPr>
            <w:r>
              <w:rPr>
                <w:rFonts w:ascii="Arial" w:cs="Arial" w:eastAsia="Arial" w:hAnsi="Arial"/>
                <w:sz w:val="18"/>
                <w:szCs w:val="18"/>
                <w:color w:val="auto"/>
              </w:rPr>
              <w:t>Valuation allowance for deferred ISR asset</w:t>
            </w: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(75,587)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(79,242)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deferred ISR asset</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vMerge w:val="restart"/>
          </w:tcPr>
          <w:p>
            <w:pPr>
              <w:jc w:val="right"/>
              <w:ind w:right="1157"/>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6"/>
          </w:cols>
          <w:pgMar w:left="694" w:top="280" w:right="239" w:bottom="1440" w:gutter="0" w:footer="0" w:header="0"/>
        </w:sectPr>
      </w:pPr>
    </w:p>
    <w:bookmarkStart w:id="229" w:name="page230"/>
    <w:bookmarkEnd w:id="229"/>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Movements in the valuation allowance for the deferred ISR asset for the years ended December 31 are as follows: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100" w:type="dxa"/>
            <w:vAlign w:val="bottom"/>
          </w:tcPr>
          <w:p>
            <w:pPr>
              <w:jc w:val="center"/>
              <w:ind w:left="1702"/>
              <w:spacing w:after="0"/>
              <w:rPr>
                <w:sz w:val="20"/>
                <w:szCs w:val="20"/>
                <w:color w:val="auto"/>
              </w:rPr>
            </w:pPr>
            <w:r>
              <w:rPr>
                <w:rFonts w:ascii="Arial" w:cs="Arial" w:eastAsia="Arial" w:hAnsi="Arial"/>
                <w:sz w:val="14"/>
                <w:szCs w:val="14"/>
                <w:b w:val="1"/>
                <w:bCs w:val="1"/>
                <w:color w:val="auto"/>
                <w:w w:val="85"/>
              </w:rPr>
              <w:t>Balance at</w:t>
            </w: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Additional</w:t>
            </w: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3100" w:type="dxa"/>
            <w:vAlign w:val="bottom"/>
          </w:tcPr>
          <w:p>
            <w:pPr>
              <w:jc w:val="center"/>
              <w:ind w:left="1702"/>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124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charged to</w:t>
            </w:r>
          </w:p>
        </w:tc>
        <w:tc>
          <w:tcPr>
            <w:tcW w:w="138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Amortization</w:t>
            </w:r>
          </w:p>
        </w:tc>
        <w:tc>
          <w:tcPr>
            <w:tcW w:w="14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Balance at ending</w:t>
            </w:r>
          </w:p>
        </w:tc>
      </w:tr>
      <w:tr>
        <w:trPr>
          <w:trHeight w:val="161"/>
        </w:trPr>
        <w:tc>
          <w:tcPr>
            <w:tcW w:w="3340" w:type="dxa"/>
            <w:vAlign w:val="bottom"/>
          </w:tcPr>
          <w:p>
            <w:pPr>
              <w:spacing w:after="0"/>
              <w:rPr>
                <w:sz w:val="14"/>
                <w:szCs w:val="14"/>
                <w:color w:val="auto"/>
              </w:rPr>
            </w:pPr>
          </w:p>
        </w:tc>
        <w:tc>
          <w:tcPr>
            <w:tcW w:w="3100" w:type="dxa"/>
            <w:vAlign w:val="bottom"/>
          </w:tcPr>
          <w:p>
            <w:pPr>
              <w:jc w:val="center"/>
              <w:ind w:left="1682"/>
              <w:spacing w:after="0"/>
              <w:rPr>
                <w:sz w:val="20"/>
                <w:szCs w:val="20"/>
                <w:color w:val="auto"/>
              </w:rPr>
            </w:pPr>
            <w:r>
              <w:rPr>
                <w:rFonts w:ascii="Arial" w:cs="Arial" w:eastAsia="Arial" w:hAnsi="Arial"/>
                <w:sz w:val="14"/>
                <w:szCs w:val="14"/>
                <w:b w:val="1"/>
                <w:bCs w:val="1"/>
                <w:color w:val="auto"/>
                <w:w w:val="88"/>
              </w:rPr>
              <w:t>period</w:t>
            </w:r>
          </w:p>
        </w:tc>
        <w:tc>
          <w:tcPr>
            <w:tcW w:w="1240" w:type="dxa"/>
            <w:vAlign w:val="bottom"/>
          </w:tcPr>
          <w:p>
            <w:pPr>
              <w:jc w:val="right"/>
              <w:ind w:right="302"/>
              <w:spacing w:after="0"/>
              <w:rPr>
                <w:sz w:val="20"/>
                <w:szCs w:val="20"/>
                <w:color w:val="auto"/>
              </w:rPr>
            </w:pPr>
            <w:r>
              <w:rPr>
                <w:rFonts w:ascii="Arial" w:cs="Arial" w:eastAsia="Arial" w:hAnsi="Arial"/>
                <w:sz w:val="14"/>
                <w:szCs w:val="14"/>
                <w:b w:val="1"/>
                <w:bCs w:val="1"/>
                <w:color w:val="auto"/>
              </w:rPr>
              <w:t>expenses</w:t>
            </w:r>
          </w:p>
        </w:tc>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of tax losses</w:t>
            </w:r>
          </w:p>
        </w:tc>
        <w:tc>
          <w:tcPr>
            <w:tcW w:w="1440" w:type="dxa"/>
            <w:vAlign w:val="bottom"/>
          </w:tcPr>
          <w:p>
            <w:pPr>
              <w:jc w:val="right"/>
              <w:ind w:right="280"/>
              <w:spacing w:after="0"/>
              <w:rPr>
                <w:sz w:val="20"/>
                <w:szCs w:val="20"/>
                <w:color w:val="auto"/>
              </w:rPr>
            </w:pPr>
            <w:r>
              <w:rPr>
                <w:rFonts w:ascii="Arial" w:cs="Arial" w:eastAsia="Arial" w:hAnsi="Arial"/>
                <w:sz w:val="14"/>
                <w:szCs w:val="14"/>
                <w:b w:val="1"/>
                <w:bCs w:val="1"/>
                <w:color w:val="auto"/>
              </w:rPr>
              <w:t>of period</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1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79,242</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21,147</w:t>
            </w:r>
          </w:p>
        </w:tc>
        <w:tc>
          <w:tcPr>
            <w:tcW w:w="138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24,802</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75,587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2010 (Unaudited)</w:t>
            </w:r>
          </w:p>
        </w:tc>
        <w:tc>
          <w:tcPr>
            <w:tcW w:w="3100" w:type="dxa"/>
            <w:vAlign w:val="bottom"/>
          </w:tcPr>
          <w:p>
            <w:pPr>
              <w:jc w:val="right"/>
              <w:ind w:right="222"/>
              <w:spacing w:after="0"/>
              <w:rPr>
                <w:sz w:val="20"/>
                <w:szCs w:val="20"/>
                <w:color w:val="auto"/>
              </w:rPr>
            </w:pPr>
            <w:r>
              <w:rPr>
                <w:rFonts w:ascii="Arial" w:cs="Arial" w:eastAsia="Arial" w:hAnsi="Arial"/>
                <w:sz w:val="18"/>
                <w:szCs w:val="18"/>
                <w:color w:val="auto"/>
              </w:rPr>
              <w:t>33,155</w:t>
            </w:r>
          </w:p>
        </w:tc>
        <w:tc>
          <w:tcPr>
            <w:tcW w:w="1240" w:type="dxa"/>
            <w:vAlign w:val="bottom"/>
          </w:tcPr>
          <w:p>
            <w:pPr>
              <w:jc w:val="right"/>
              <w:ind w:right="242"/>
              <w:spacing w:after="0"/>
              <w:rPr>
                <w:sz w:val="20"/>
                <w:szCs w:val="20"/>
                <w:color w:val="auto"/>
              </w:rPr>
            </w:pPr>
            <w:r>
              <w:rPr>
                <w:rFonts w:ascii="Arial" w:cs="Arial" w:eastAsia="Arial" w:hAnsi="Arial"/>
                <w:sz w:val="18"/>
                <w:szCs w:val="18"/>
                <w:color w:val="auto"/>
              </w:rPr>
              <w:t>46,087</w:t>
            </w:r>
          </w:p>
        </w:tc>
        <w:tc>
          <w:tcPr>
            <w:tcW w:w="1380" w:type="dxa"/>
            <w:vAlign w:val="bottom"/>
          </w:tcPr>
          <w:p>
            <w:pPr>
              <w:ind w:left="8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79,242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 (Unaudited)</w:t>
            </w:r>
          </w:p>
        </w:tc>
        <w:tc>
          <w:tcPr>
            <w:tcW w:w="31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2,566</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30,589</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33,155</w:t>
            </w:r>
          </w:p>
        </w:tc>
      </w:tr>
    </w:tbl>
    <w:p>
      <w:pPr>
        <w:spacing w:after="0" w:line="194" w:lineRule="exact"/>
        <w:rPr>
          <w:sz w:val="20"/>
          <w:szCs w:val="20"/>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of December 31, the main items that give rise to a deferred IETU liability are:</w:t>
      </w:r>
    </w:p>
    <w:p>
      <w:pPr>
        <w:spacing w:after="0" w:line="249"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IETU liability: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from affiliated companies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(49,690)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(33,395)</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IETU liability</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(51,479)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(35,500)</w:t>
            </w:r>
          </w:p>
        </w:tc>
        <w:tc>
          <w:tcPr>
            <w:tcW w:w="0" w:type="dxa"/>
            <w:vAlign w:val="bottom"/>
          </w:tcPr>
          <w:p>
            <w:pPr>
              <w:spacing w:after="0"/>
              <w:rPr>
                <w:sz w:val="1"/>
                <w:szCs w:val="1"/>
                <w:color w:val="auto"/>
              </w:rPr>
            </w:pPr>
          </w:p>
        </w:tc>
      </w:tr>
      <w:tr>
        <w:trPr>
          <w:trHeight w:val="323"/>
        </w:trPr>
        <w:tc>
          <w:tcPr>
            <w:tcW w:w="6480" w:type="dxa"/>
            <w:vAlign w:val="bottom"/>
          </w:tcPr>
          <w:p>
            <w:pPr>
              <w:spacing w:after="0"/>
              <w:rPr>
                <w:sz w:val="20"/>
                <w:szCs w:val="20"/>
                <w:color w:val="auto"/>
              </w:rPr>
            </w:pPr>
            <w:r>
              <w:rPr>
                <w:rFonts w:ascii="Arial" w:cs="Arial" w:eastAsia="Arial" w:hAnsi="Arial"/>
                <w:sz w:val="18"/>
                <w:szCs w:val="18"/>
                <w:color w:val="auto"/>
              </w:rPr>
              <w:t>Deferred IETU asset: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860"/>
              <w:spacing w:after="0"/>
              <w:rPr>
                <w:sz w:val="20"/>
                <w:szCs w:val="20"/>
                <w:color w:val="auto"/>
              </w:rPr>
            </w:pPr>
            <w:r>
              <w:rPr>
                <w:rFonts w:ascii="Arial" w:cs="Arial" w:eastAsia="Arial" w:hAnsi="Arial"/>
                <w:sz w:val="18"/>
                <w:szCs w:val="18"/>
                <w:color w:val="auto"/>
              </w:rPr>
              <w:t>Deferred IETU asset:</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IETU liability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(25,831)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27,224</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6" w:hanging="446"/>
        <w:spacing w:after="0" w:line="268"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benefits of restated tax loss carryforwards for which the deferred ISR asset has been recognized, can be recovered subject to certain conditions in different jurisdictions. Restated amounts as of December 31, 2011 and expiration dates are:</w:t>
      </w:r>
    </w:p>
    <w:p>
      <w:pPr>
        <w:spacing w:after="0" w:line="156" w:lineRule="exact"/>
        <w:rPr>
          <w:sz w:val="20"/>
          <w:szCs w:val="20"/>
          <w:color w:val="auto"/>
        </w:rPr>
      </w:pPr>
    </w:p>
    <w:tbl>
      <w:tblPr>
        <w:tblLayout w:type="fixed"/>
        <w:tblInd w:w="1386" w:type="dxa"/>
        <w:tblCellMar>
          <w:top w:w="0" w:type="dxa"/>
          <w:left w:w="0" w:type="dxa"/>
          <w:bottom w:w="0" w:type="dxa"/>
          <w:right w:w="0" w:type="dxa"/>
        </w:tblCellMar>
      </w:tblPr>
      <w:tr>
        <w:trPr>
          <w:trHeight w:val="161"/>
        </w:trPr>
        <w:tc>
          <w:tcPr>
            <w:tcW w:w="5020" w:type="dxa"/>
            <w:vAlign w:val="bottom"/>
          </w:tcPr>
          <w:p>
            <w:pPr>
              <w:jc w:val="center"/>
              <w:ind w:left="776"/>
              <w:spacing w:after="0"/>
              <w:rPr>
                <w:sz w:val="20"/>
                <w:szCs w:val="20"/>
                <w:color w:val="auto"/>
              </w:rPr>
            </w:pPr>
            <w:r>
              <w:rPr>
                <w:rFonts w:ascii="Arial" w:cs="Arial" w:eastAsia="Arial" w:hAnsi="Arial"/>
                <w:sz w:val="14"/>
                <w:szCs w:val="14"/>
                <w:b w:val="1"/>
                <w:bCs w:val="1"/>
                <w:color w:val="auto"/>
                <w:w w:val="84"/>
              </w:rPr>
              <w:t>Year of</w:t>
            </w: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loss</w:t>
            </w:r>
          </w:p>
        </w:tc>
      </w:tr>
      <w:tr>
        <w:trPr>
          <w:trHeight w:val="161"/>
        </w:trPr>
        <w:tc>
          <w:tcPr>
            <w:tcW w:w="5020" w:type="dxa"/>
            <w:vAlign w:val="bottom"/>
          </w:tcPr>
          <w:p>
            <w:pPr>
              <w:jc w:val="center"/>
              <w:ind w:left="796"/>
              <w:spacing w:after="0"/>
              <w:rPr>
                <w:sz w:val="20"/>
                <w:szCs w:val="20"/>
                <w:color w:val="auto"/>
              </w:rPr>
            </w:pPr>
            <w:r>
              <w:rPr>
                <w:rFonts w:ascii="Arial" w:cs="Arial" w:eastAsia="Arial" w:hAnsi="Arial"/>
                <w:sz w:val="14"/>
                <w:szCs w:val="14"/>
                <w:b w:val="1"/>
                <w:bCs w:val="1"/>
                <w:color w:val="auto"/>
                <w:w w:val="90"/>
              </w:rPr>
              <w:t>Expiration</w:t>
            </w:r>
          </w:p>
        </w:tc>
        <w:tc>
          <w:tcPr>
            <w:tcW w:w="2740" w:type="dxa"/>
            <w:vAlign w:val="bottom"/>
            <w:gridSpan w:val="4"/>
          </w:tcPr>
          <w:p>
            <w:pPr>
              <w:ind w:left="1760"/>
              <w:spacing w:after="0"/>
              <w:rPr>
                <w:sz w:val="20"/>
                <w:szCs w:val="20"/>
                <w:color w:val="auto"/>
              </w:rPr>
            </w:pPr>
            <w:r>
              <w:rPr>
                <w:rFonts w:ascii="Arial" w:cs="Arial" w:eastAsia="Arial" w:hAnsi="Arial"/>
                <w:sz w:val="14"/>
                <w:szCs w:val="14"/>
                <w:b w:val="1"/>
                <w:bCs w:val="1"/>
                <w:color w:val="auto"/>
              </w:rPr>
              <w:t>Carryforwards</w:t>
            </w:r>
          </w:p>
        </w:tc>
      </w:tr>
      <w:tr>
        <w:trPr>
          <w:trHeight w:val="216"/>
        </w:trPr>
        <w:tc>
          <w:tcPr>
            <w:tcW w:w="502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89"/>
              </w:rPr>
              <w:t>2012</w:t>
            </w:r>
          </w:p>
        </w:tc>
        <w:tc>
          <w:tcPr>
            <w:tcW w:w="19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jc w:val="center"/>
              <w:ind w:left="816"/>
              <w:spacing w:after="0"/>
              <w:rPr>
                <w:sz w:val="20"/>
                <w:szCs w:val="20"/>
                <w:color w:val="auto"/>
              </w:rPr>
            </w:pPr>
            <w:r>
              <w:rPr>
                <w:rFonts w:ascii="Arial" w:cs="Arial" w:eastAsia="Arial" w:hAnsi="Arial"/>
                <w:sz w:val="18"/>
                <w:szCs w:val="18"/>
                <w:color w:val="auto"/>
                <w:w w:val="89"/>
              </w:rPr>
              <w:t>2013</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89"/>
              </w:rPr>
              <w:t>2014</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jc w:val="center"/>
              <w:ind w:left="816"/>
              <w:spacing w:after="0"/>
              <w:rPr>
                <w:sz w:val="20"/>
                <w:szCs w:val="20"/>
                <w:color w:val="auto"/>
              </w:rPr>
            </w:pPr>
            <w:r>
              <w:rPr>
                <w:rFonts w:ascii="Arial" w:cs="Arial" w:eastAsia="Arial" w:hAnsi="Arial"/>
                <w:sz w:val="18"/>
                <w:szCs w:val="18"/>
                <w:color w:val="auto"/>
                <w:w w:val="89"/>
              </w:rPr>
              <w:t>2015</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89"/>
              </w:rPr>
              <w:t>2016</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jc w:val="center"/>
              <w:ind w:left="816"/>
              <w:spacing w:after="0"/>
              <w:rPr>
                <w:sz w:val="20"/>
                <w:szCs w:val="20"/>
                <w:color w:val="auto"/>
              </w:rPr>
            </w:pPr>
            <w:r>
              <w:rPr>
                <w:rFonts w:ascii="Arial" w:cs="Arial" w:eastAsia="Arial" w:hAnsi="Arial"/>
                <w:sz w:val="18"/>
                <w:szCs w:val="18"/>
                <w:color w:val="auto"/>
                <w:w w:val="89"/>
              </w:rPr>
              <w:t>2017</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89"/>
              </w:rPr>
              <w:t>2018</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jc w:val="center"/>
              <w:ind w:left="816"/>
              <w:spacing w:after="0"/>
              <w:rPr>
                <w:sz w:val="20"/>
                <w:szCs w:val="20"/>
                <w:color w:val="auto"/>
              </w:rPr>
            </w:pPr>
            <w:r>
              <w:rPr>
                <w:rFonts w:ascii="Arial" w:cs="Arial" w:eastAsia="Arial" w:hAnsi="Arial"/>
                <w:sz w:val="18"/>
                <w:szCs w:val="18"/>
                <w:color w:val="auto"/>
                <w:w w:val="89"/>
              </w:rPr>
              <w:t>2019</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89"/>
              </w:rPr>
              <w:t>2020</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5020" w:type="dxa"/>
            <w:vAlign w:val="bottom"/>
          </w:tcPr>
          <w:p>
            <w:pPr>
              <w:jc w:val="center"/>
              <w:ind w:left="816"/>
              <w:spacing w:after="0"/>
              <w:rPr>
                <w:sz w:val="20"/>
                <w:szCs w:val="20"/>
                <w:color w:val="auto"/>
              </w:rPr>
            </w:pPr>
            <w:r>
              <w:rPr>
                <w:rFonts w:ascii="Arial" w:cs="Arial" w:eastAsia="Arial" w:hAnsi="Arial"/>
                <w:sz w:val="18"/>
                <w:szCs w:val="18"/>
                <w:color w:val="auto"/>
                <w:w w:val="89"/>
              </w:rPr>
              <w:t>2021</w:t>
            </w:r>
          </w:p>
        </w:tc>
        <w:tc>
          <w:tcPr>
            <w:tcW w:w="1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94"/>
        <w:spacing w:after="0" w:line="440" w:lineRule="auto"/>
        <w:rPr>
          <w:sz w:val="20"/>
          <w:szCs w:val="20"/>
          <w:color w:val="auto"/>
        </w:rPr>
      </w:pPr>
      <w:r>
        <w:rPr>
          <w:rFonts w:ascii="Arial" w:cs="Arial" w:eastAsia="Arial" w:hAnsi="Arial"/>
          <w:sz w:val="18"/>
          <w:szCs w:val="18"/>
          <w:color w:val="auto"/>
        </w:rPr>
        <w:t>In Colombia, tax losses carryforwards of $229,052 as of December 31, 2011 can be recovered without limitation on the value or period. 22</w:t>
      </w:r>
    </w:p>
    <w:p>
      <w:pPr>
        <w:sectPr>
          <w:pgSz w:w="11900" w:h="16838" w:orient="portrait"/>
          <w:cols w:equalWidth="0" w:num="1">
            <w:col w:w="10966"/>
          </w:cols>
          <w:pgMar w:left="694" w:top="280" w:right="239" w:bottom="1440" w:gutter="0" w:footer="0" w:header="0"/>
        </w:sectPr>
      </w:pPr>
    </w:p>
    <w:bookmarkStart w:id="230" w:name="page231"/>
    <w:bookmarkEnd w:id="230"/>
    <w:p>
      <w:pPr>
        <w:ind w:left="452" w:right="8460" w:hanging="452"/>
        <w:spacing w:after="0" w:line="391" w:lineRule="auto"/>
        <w:tabs>
          <w:tab w:leader="none" w:pos="441"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Commitments and Contingencies </w:t>
      </w:r>
      <w:r>
        <w:rPr>
          <w:rFonts w:ascii="Arial" w:cs="Arial" w:eastAsia="Arial" w:hAnsi="Arial"/>
          <w:sz w:val="16"/>
          <w:szCs w:val="16"/>
          <w:b w:val="1"/>
          <w:bCs w:val="1"/>
          <w:i w:val="1"/>
          <w:iCs w:val="1"/>
          <w:color w:val="auto"/>
        </w:rPr>
        <w:t>Commitments</w:t>
      </w:r>
    </w:p>
    <w:p>
      <w:pPr>
        <w:ind w:left="452"/>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leases retail stores and other facilities under operating lease agreements with initial lease terms expiring in various years through 2040. In addition to minimum rentals, there are certain executory costs such as real estate taxes, insurance and common area maintenance on most of the Company’s facility leases.</w:t>
      </w:r>
    </w:p>
    <w:p>
      <w:pPr>
        <w:spacing w:after="0" w:line="140"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The table below shows future minimum lease payments due under the non-cancelable portions of our leases as of December 31, 2011.</w:t>
      </w:r>
    </w:p>
    <w:p>
      <w:pPr>
        <w:spacing w:after="0" w:line="220"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520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89"/>
              </w:rPr>
              <w:t>2012</w:t>
            </w:r>
          </w:p>
        </w:tc>
        <w:tc>
          <w:tcPr>
            <w:tcW w:w="2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324,970</w:t>
            </w:r>
          </w:p>
        </w:tc>
      </w:tr>
      <w:tr>
        <w:trPr>
          <w:trHeight w:val="216"/>
        </w:trPr>
        <w:tc>
          <w:tcPr>
            <w:tcW w:w="5200" w:type="dxa"/>
            <w:vAlign w:val="bottom"/>
          </w:tcPr>
          <w:p>
            <w:pPr>
              <w:jc w:val="center"/>
              <w:ind w:left="1032"/>
              <w:spacing w:after="0"/>
              <w:rPr>
                <w:sz w:val="20"/>
                <w:szCs w:val="20"/>
                <w:color w:val="auto"/>
              </w:rPr>
            </w:pPr>
            <w:r>
              <w:rPr>
                <w:rFonts w:ascii="Arial" w:cs="Arial" w:eastAsia="Arial" w:hAnsi="Arial"/>
                <w:sz w:val="18"/>
                <w:szCs w:val="18"/>
                <w:color w:val="auto"/>
                <w:w w:val="89"/>
              </w:rPr>
              <w:t>2013</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313,093</w:t>
            </w:r>
          </w:p>
        </w:tc>
      </w:tr>
      <w:tr>
        <w:trPr>
          <w:trHeight w:val="216"/>
        </w:trPr>
        <w:tc>
          <w:tcPr>
            <w:tcW w:w="520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89"/>
              </w:rPr>
              <w:t>2014</w:t>
            </w:r>
          </w:p>
        </w:tc>
        <w:tc>
          <w:tcPr>
            <w:tcW w:w="2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289,908</w:t>
            </w:r>
          </w:p>
        </w:tc>
      </w:tr>
      <w:tr>
        <w:trPr>
          <w:trHeight w:val="216"/>
        </w:trPr>
        <w:tc>
          <w:tcPr>
            <w:tcW w:w="5200" w:type="dxa"/>
            <w:vAlign w:val="bottom"/>
          </w:tcPr>
          <w:p>
            <w:pPr>
              <w:jc w:val="center"/>
              <w:ind w:left="1032"/>
              <w:spacing w:after="0"/>
              <w:rPr>
                <w:sz w:val="20"/>
                <w:szCs w:val="20"/>
                <w:color w:val="auto"/>
              </w:rPr>
            </w:pPr>
            <w:r>
              <w:rPr>
                <w:rFonts w:ascii="Arial" w:cs="Arial" w:eastAsia="Arial" w:hAnsi="Arial"/>
                <w:sz w:val="18"/>
                <w:szCs w:val="18"/>
                <w:color w:val="auto"/>
                <w:w w:val="89"/>
              </w:rPr>
              <w:t>2015</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282,341</w:t>
            </w:r>
          </w:p>
        </w:tc>
      </w:tr>
      <w:tr>
        <w:trPr>
          <w:trHeight w:val="216"/>
        </w:trPr>
        <w:tc>
          <w:tcPr>
            <w:tcW w:w="520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89"/>
              </w:rPr>
              <w:t>2016</w:t>
            </w:r>
          </w:p>
        </w:tc>
        <w:tc>
          <w:tcPr>
            <w:tcW w:w="2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269,559</w:t>
            </w:r>
          </w:p>
        </w:tc>
      </w:tr>
      <w:tr>
        <w:trPr>
          <w:trHeight w:val="222"/>
        </w:trPr>
        <w:tc>
          <w:tcPr>
            <w:tcW w:w="5200" w:type="dxa"/>
            <w:vAlign w:val="bottom"/>
          </w:tcPr>
          <w:p>
            <w:pPr>
              <w:jc w:val="center"/>
              <w:ind w:left="1052"/>
              <w:spacing w:after="0"/>
              <w:rPr>
                <w:sz w:val="20"/>
                <w:szCs w:val="20"/>
                <w:color w:val="auto"/>
              </w:rPr>
            </w:pPr>
            <w:r>
              <w:rPr>
                <w:rFonts w:ascii="Arial" w:cs="Arial" w:eastAsia="Arial" w:hAnsi="Arial"/>
                <w:sz w:val="18"/>
                <w:szCs w:val="18"/>
                <w:color w:val="auto"/>
                <w:w w:val="89"/>
              </w:rPr>
              <w:t>Thereafter</w:t>
            </w: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2,118,879</w:t>
            </w:r>
          </w:p>
        </w:tc>
      </w:tr>
    </w:tbl>
    <w:p>
      <w:pPr>
        <w:spacing w:after="0" w:line="14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Rent expense was $352,185, $294,838 and $271,162 in 2011, 2010, and 2009, respectively.</w:t>
      </w:r>
    </w:p>
    <w:p>
      <w:pPr>
        <w:spacing w:after="0" w:line="252"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left="452"/>
        <w:spacing w:after="0" w:line="254" w:lineRule="auto"/>
        <w:rPr>
          <w:sz w:val="20"/>
          <w:szCs w:val="20"/>
          <w:color w:val="auto"/>
        </w:rPr>
      </w:pPr>
      <w:r>
        <w:rPr>
          <w:rFonts w:ascii="Arial" w:cs="Arial" w:eastAsia="Arial" w:hAnsi="Arial"/>
          <w:sz w:val="18"/>
          <w:szCs w:val="18"/>
          <w:color w:val="auto"/>
        </w:rPr>
        <w:t>On August 31, 2005, in an effort to expand operations within Mexico, a sublease agreement with respect to a plot of land was signed between the Company and a third party, under which the Company would sublease the land and build one of its Office Depot stores. After subsequent analysis, in its own best interest, the Company decided not to proceed with the project and notified the third party of its intent to early terminate the sublease contract. The third party considered this to be a breach of the sublease contract, which resulted in the Company filing a lawsuit against the sublessor in July 2006, seeking the early termination of the contract. The third party filed a counterclaim against the Company seeking mandatory performance by the Company under the contract.</w:t>
      </w:r>
    </w:p>
    <w:p>
      <w:pPr>
        <w:spacing w:after="0" w:line="144" w:lineRule="exact"/>
        <w:rPr>
          <w:sz w:val="20"/>
          <w:szCs w:val="20"/>
          <w:color w:val="auto"/>
        </w:rPr>
      </w:pPr>
    </w:p>
    <w:p>
      <w:pPr>
        <w:ind w:left="452" w:right="40"/>
        <w:spacing w:after="0" w:line="259" w:lineRule="auto"/>
        <w:rPr>
          <w:sz w:val="20"/>
          <w:szCs w:val="20"/>
          <w:color w:val="auto"/>
        </w:rPr>
      </w:pPr>
      <w:r>
        <w:rPr>
          <w:rFonts w:ascii="Arial" w:cs="Arial" w:eastAsia="Arial" w:hAnsi="Arial"/>
          <w:sz w:val="18"/>
          <w:szCs w:val="18"/>
          <w:color w:val="auto"/>
        </w:rPr>
        <w:t>In October 2008, the Company was ordered under the counterclaim to comply with the terms of the sublease agreement, which requires the construction of an Office Depot store on the plot of land. The Company filed an appeal in January 2009. On August 19, 2010 the court rejected the Company’s appeal of January 2009.</w:t>
      </w:r>
    </w:p>
    <w:p>
      <w:pPr>
        <w:spacing w:after="0" w:line="140"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 xml:space="preserve">The Company is currently seeking an </w:t>
      </w:r>
      <w:r>
        <w:rPr>
          <w:rFonts w:ascii="Arial" w:cs="Arial" w:eastAsia="Arial" w:hAnsi="Arial"/>
          <w:sz w:val="18"/>
          <w:szCs w:val="18"/>
          <w:i w:val="1"/>
          <w:iCs w:val="1"/>
          <w:color w:val="auto"/>
        </w:rPr>
        <w:t>amparo</w:t>
      </w:r>
      <w:r>
        <w:rPr>
          <w:rFonts w:ascii="Arial" w:cs="Arial" w:eastAsia="Arial" w:hAnsi="Arial"/>
          <w:sz w:val="18"/>
          <w:szCs w:val="18"/>
          <w:color w:val="auto"/>
        </w:rPr>
        <w:t xml:space="preserve"> lawsuit (an injunction on constitutional grounds) against the August 19, 2010 ruling. If the verdict of October 2008 were confirmed as definitive, the Company would be required to pay both the rentals due under the terms of the sublease agreement as well as the construction of an Office Depot store.</w:t>
      </w:r>
    </w:p>
    <w:p>
      <w:pPr>
        <w:spacing w:after="0" w:line="140" w:lineRule="exact"/>
        <w:rPr>
          <w:sz w:val="20"/>
          <w:szCs w:val="20"/>
          <w:color w:val="auto"/>
        </w:rPr>
      </w:pPr>
    </w:p>
    <w:p>
      <w:pPr>
        <w:ind w:left="452" w:right="280"/>
        <w:spacing w:after="0" w:line="306" w:lineRule="auto"/>
        <w:rPr>
          <w:sz w:val="20"/>
          <w:szCs w:val="20"/>
          <w:color w:val="auto"/>
        </w:rPr>
      </w:pPr>
      <w:r>
        <w:rPr>
          <w:rFonts w:ascii="Arial" w:cs="Arial" w:eastAsia="Arial" w:hAnsi="Arial"/>
          <w:sz w:val="16"/>
          <w:szCs w:val="16"/>
          <w:color w:val="auto"/>
        </w:rPr>
        <w:t>As of December 31, 2011, the Company, together with its counsel, estimates that the accrued rentals and the approximate cost of the construction of the Office Depot store total approximately $17,500. A liability has not been recognized for this amount, as the Company does not believe that a negative outcome is probable, as there are reasonable legal grounds indicating the possibility that the October 2008 verdict may be overturned.</w:t>
      </w:r>
    </w:p>
    <w:p>
      <w:pPr>
        <w:spacing w:after="0" w:line="222" w:lineRule="exact"/>
        <w:rPr>
          <w:sz w:val="20"/>
          <w:szCs w:val="20"/>
          <w:color w:val="auto"/>
        </w:rPr>
      </w:pPr>
    </w:p>
    <w:p>
      <w:pPr>
        <w:ind w:left="452" w:hanging="452"/>
        <w:spacing w:after="0"/>
        <w:tabs>
          <w:tab w:leader="none" w:pos="45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principles</w:t>
      </w:r>
    </w:p>
    <w:p>
      <w:pPr>
        <w:spacing w:after="0" w:line="96" w:lineRule="exact"/>
        <w:rPr>
          <w:rFonts w:ascii="Arial" w:cs="Arial" w:eastAsia="Arial" w:hAnsi="Arial"/>
          <w:sz w:val="18"/>
          <w:szCs w:val="18"/>
          <w:b w:val="1"/>
          <w:bCs w:val="1"/>
          <w:color w:val="auto"/>
        </w:rPr>
      </w:pPr>
    </w:p>
    <w:p>
      <w:pPr>
        <w:jc w:val="both"/>
        <w:ind w:left="452"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part of its efforts to make Mexican standards converge with international standards, in 2011, the Mexican Board for Research and Development of Financial Information Standards (“CINIF”) issued the following NIFs, INIFs and improvements to NIFs, which will become effective as of January 1, 2012:</w:t>
      </w:r>
    </w:p>
    <w:p>
      <w:pPr>
        <w:spacing w:after="0" w:line="14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 xml:space="preserve">B-3, </w:t>
      </w:r>
      <w:r>
        <w:rPr>
          <w:rFonts w:ascii="Arial" w:cs="Arial" w:eastAsia="Arial" w:hAnsi="Arial"/>
          <w:sz w:val="18"/>
          <w:szCs w:val="18"/>
          <w:i w:val="1"/>
          <w:iCs w:val="1"/>
          <w:color w:val="auto"/>
        </w:rPr>
        <w:t>Statement of Comprehensive Income</w:t>
      </w:r>
    </w:p>
    <w:p>
      <w:pPr>
        <w:spacing w:after="0" w:line="15" w:lineRule="exact"/>
        <w:rPr>
          <w:rFonts w:ascii="Arial" w:cs="Arial" w:eastAsia="Arial" w:hAnsi="Arial"/>
          <w:sz w:val="18"/>
          <w:szCs w:val="18"/>
          <w:b w:val="1"/>
          <w:bCs w:val="1"/>
          <w:color w:val="auto"/>
        </w:rPr>
      </w:pPr>
    </w:p>
    <w:p>
      <w:pPr>
        <w:ind w:left="452" w:right="736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 xml:space="preserve">B-4, </w:t>
      </w:r>
      <w:r>
        <w:rPr>
          <w:rFonts w:ascii="Arial" w:cs="Arial" w:eastAsia="Arial" w:hAnsi="Arial"/>
          <w:sz w:val="18"/>
          <w:szCs w:val="18"/>
          <w:i w:val="1"/>
          <w:iCs w:val="1"/>
          <w:color w:val="auto"/>
        </w:rPr>
        <w:t>Statement of Changes in Stockholders’ Equity</w:t>
      </w:r>
      <w:r>
        <w:rPr>
          <w:rFonts w:ascii="Arial" w:cs="Arial" w:eastAsia="Arial" w:hAnsi="Arial"/>
          <w:sz w:val="18"/>
          <w:szCs w:val="18"/>
          <w:color w:val="auto"/>
        </w:rPr>
        <w:t xml:space="preserve"> C-6, </w:t>
      </w:r>
      <w:r>
        <w:rPr>
          <w:rFonts w:ascii="Arial" w:cs="Arial" w:eastAsia="Arial" w:hAnsi="Arial"/>
          <w:sz w:val="18"/>
          <w:szCs w:val="18"/>
          <w:i w:val="1"/>
          <w:iCs w:val="1"/>
          <w:color w:val="auto"/>
        </w:rPr>
        <w:t>Property, Plant and Equipment</w:t>
      </w: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Improvements to Mexican Financial Reporting Standards 2012</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74" w:right="2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Some of the most important changes established by these standards are:</w:t>
      </w:r>
    </w:p>
    <w:p>
      <w:pPr>
        <w:spacing w:after="0" w:line="17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NIF B-3—</w:t>
      </w:r>
      <w:r>
        <w:rPr>
          <w:rFonts w:ascii="Arial" w:cs="Arial" w:eastAsia="Arial" w:hAnsi="Arial"/>
          <w:sz w:val="16"/>
          <w:szCs w:val="16"/>
          <w:i w:val="1"/>
          <w:iCs w:val="1"/>
          <w:color w:val="auto"/>
        </w:rPr>
        <w:t>Statement of Comprehensive Income,</w:t>
      </w:r>
      <w:r>
        <w:rPr>
          <w:rFonts w:ascii="Arial" w:cs="Arial" w:eastAsia="Arial" w:hAnsi="Arial"/>
          <w:sz w:val="16"/>
          <w:szCs w:val="16"/>
          <w:color w:val="auto"/>
        </w:rPr>
        <w:t xml:space="preserve"> provides the option of presenting a) a single statement of comprehensive income (loss) containing the items that comprise (i) net income (loss) of the entity, (ii) other comprehensive income (loss) items of the entity and (iii) equity in other comprehensive income (loss) of other entities, such as associates, or b) two statements: a statement of income (loss), which would include only items that make up net income (loss), and a separate statement of other comprehensive income (loss), which should begin with net income (loss) and immediately present other comprehensive income (loss) items of the entity and other comprehensive income (loss) of other entities, such as associates. In addition, NIF B-3 establishes that items should not be separately presented as non-ordinary in the financial statements or the notes to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NIF B-4, </w:t>
      </w:r>
      <w:r>
        <w:rPr>
          <w:rFonts w:ascii="Arial" w:cs="Arial" w:eastAsia="Arial" w:hAnsi="Arial"/>
          <w:sz w:val="18"/>
          <w:szCs w:val="18"/>
          <w:i w:val="1"/>
          <w:iCs w:val="1"/>
          <w:color w:val="auto"/>
        </w:rPr>
        <w:t>Statement of Changes in Stockholders’ Equity</w:t>
      </w:r>
      <w:r>
        <w:rPr>
          <w:rFonts w:ascii="Arial" w:cs="Arial" w:eastAsia="Arial" w:hAnsi="Arial"/>
          <w:sz w:val="18"/>
          <w:szCs w:val="18"/>
          <w:color w:val="auto"/>
        </w:rPr>
        <w:t>, establishes the general principles for the presentation and structure of the statement of changes in stockholders’ equity, such as showing retroactive adjustments due to accounting changes and correction of errors that affect the beginning balances of stockholders’ equity and presenting comprehensive income (loss) in a single line item, presenting detail of all items comprising comprehensive income (loss) based on the requirements of NIF B-3.</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NIF C-6,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establishes the obligation to depreciate separately all components that comprise a single item of property, plant and equipment, as opposed to depreciating the asset as if it were a single component.</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Improvements to Mexican Financial Reporting Standards 2012</w:t>
      </w:r>
      <w:r>
        <w:rPr>
          <w:rFonts w:ascii="Arial" w:cs="Arial" w:eastAsia="Arial" w:hAnsi="Arial"/>
          <w:sz w:val="18"/>
          <w:szCs w:val="18"/>
          <w:color w:val="auto"/>
        </w:rPr>
        <w:t>—The main improvements that generate accounting changes that should be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retroactively in fiscal years beginning on January 1, 2012 are:</w:t>
      </w:r>
    </w:p>
    <w:p>
      <w:pPr>
        <w:spacing w:after="0" w:line="132"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 xml:space="preserve">NIF C-1,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requires that cash and restricted cash equivalents be presented in the balance sheet at current, provided such restriction expires within 12 months from the balance sheet date; if the restriction expires at a later date, this line item should be presented under long-term assets.</w:t>
      </w:r>
    </w:p>
    <w:p>
      <w:pPr>
        <w:spacing w:after="0" w:line="14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 xml:space="preserve">Bulletin C-11,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eliminates the requirement to record donations received by an entity as part of capital contributions. Under NIF B-3, </w:t>
      </w:r>
      <w:r>
        <w:rPr>
          <w:rFonts w:ascii="Arial" w:cs="Arial" w:eastAsia="Arial" w:hAnsi="Arial"/>
          <w:sz w:val="18"/>
          <w:szCs w:val="18"/>
          <w:i w:val="1"/>
          <w:iCs w:val="1"/>
          <w:color w:val="auto"/>
        </w:rPr>
        <w:t>Statement of Income</w:t>
      </w:r>
      <w:r>
        <w:rPr>
          <w:rFonts w:ascii="Arial" w:cs="Arial" w:eastAsia="Arial" w:hAnsi="Arial"/>
          <w:sz w:val="18"/>
          <w:szCs w:val="18"/>
          <w:color w:val="auto"/>
        </w:rPr>
        <w:t>, such donations should be recorded as revenue in the statement of income.</w:t>
      </w:r>
    </w:p>
    <w:p>
      <w:pPr>
        <w:spacing w:after="0" w:line="13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Bulletin C-15, </w:t>
      </w:r>
      <w:r>
        <w:rPr>
          <w:rFonts w:ascii="Arial" w:cs="Arial" w:eastAsia="Arial" w:hAnsi="Arial"/>
          <w:sz w:val="18"/>
          <w:szCs w:val="18"/>
          <w:i w:val="1"/>
          <w:iCs w:val="1"/>
          <w:color w:val="auto"/>
        </w:rPr>
        <w:t>Accounting for Impairment and Disposal of Long-lived Assets</w:t>
      </w:r>
      <w:r>
        <w:rPr>
          <w:rFonts w:ascii="Arial" w:cs="Arial" w:eastAsia="Arial" w:hAnsi="Arial"/>
          <w:sz w:val="18"/>
          <w:szCs w:val="18"/>
          <w:color w:val="auto"/>
        </w:rPr>
        <w:t>, eliminates: a) the requirement that an asset not be in use in order to classify it as available-for-sale, and b) the reversal of goodwill impairment losses. It also establishes that impairment losses in the value of long-lived assets be presented in the statement of income under the cost and expense line items corresponding to other changes in the related asset, and not under other income and expenses, or as a special item.</w:t>
      </w:r>
    </w:p>
    <w:p>
      <w:pPr>
        <w:spacing w:after="0" w:line="14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 xml:space="preserve">NIF D-3, </w:t>
      </w:r>
      <w:r>
        <w:rPr>
          <w:rFonts w:ascii="Arial" w:cs="Arial" w:eastAsia="Arial" w:hAnsi="Arial"/>
          <w:sz w:val="18"/>
          <w:szCs w:val="18"/>
          <w:i w:val="1"/>
          <w:iCs w:val="1"/>
          <w:color w:val="auto"/>
        </w:rPr>
        <w:t>Employee Benefits</w:t>
      </w:r>
      <w:r>
        <w:rPr>
          <w:rFonts w:ascii="Arial" w:cs="Arial" w:eastAsia="Arial" w:hAnsi="Arial"/>
          <w:sz w:val="18"/>
          <w:szCs w:val="18"/>
          <w:color w:val="auto"/>
        </w:rPr>
        <w:t>, requires that current and deferred PTU be presented in the statement of income under the cost and expense line items corresponding to other related employee benefits and not under other income and expenses.</w:t>
      </w:r>
    </w:p>
    <w:p>
      <w:pPr>
        <w:spacing w:after="0" w:line="13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Improvements to Mexican Financial Reporting Standards 2012</w:t>
      </w:r>
      <w:r>
        <w:rPr>
          <w:rFonts w:ascii="Arial" w:cs="Arial" w:eastAsia="Arial" w:hAnsi="Arial"/>
          <w:sz w:val="18"/>
          <w:szCs w:val="18"/>
          <w:color w:val="auto"/>
        </w:rPr>
        <w:t xml:space="preserve"> were issued that do not generate accounting changes, including the requirement of further disclosures about key assumptions used in the estimates and valuation of assets and liabilities at fair value that might give rise to significant adjustments to such values in the next accounting period.</w:t>
      </w:r>
    </w:p>
    <w:p>
      <w:pPr>
        <w:spacing w:after="0" w:line="140"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As of the date of these consolidated financial statements, the Company is still in the process of determining the effects of adoption of these new standards. 24</w:t>
      </w:r>
    </w:p>
    <w:p>
      <w:pPr>
        <w:sectPr>
          <w:pgSz w:w="11900" w:h="16838" w:orient="portrait"/>
          <w:cols w:equalWidth="0" w:num="1">
            <w:col w:w="10940"/>
          </w:cols>
          <w:pgMar w:left="700" w:top="280" w:right="259" w:bottom="1440" w:gutter="0" w:footer="0" w:header="0"/>
        </w:sectPr>
      </w:pPr>
    </w:p>
    <w:bookmarkStart w:id="232" w:name="page233"/>
    <w:bookmarkEnd w:id="232"/>
    <w:p>
      <w:pPr>
        <w:ind w:left="452" w:hanging="452"/>
        <w:spacing w:after="0"/>
        <w:tabs>
          <w:tab w:leader="none" w:pos="45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Differences between MFRS and accounting principles generally accepted in the United States of America (“U.S. GAAP”)</w:t>
      </w:r>
    </w:p>
    <w:p>
      <w:pPr>
        <w:spacing w:after="0" w:line="96"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accompanying consolidated financial statements of the Company are prepared in accordance with MFRS, which may vary in certain significant respects from U.S. GAAP. Note 3 to the accompanying consolidated financial statements summarizes the accounting policies adopted by the Company. The principal differences between MFRS and U.S. GAAP as they affect the Company’s consolidated net income, consolidated stockholders’ equity, presentation of consolidated financial information and the relevant disclosures are summarized below:</w:t>
      </w:r>
    </w:p>
    <w:p>
      <w:pPr>
        <w:spacing w:after="0" w:line="190"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(Unaudited)</w:t>
            </w:r>
          </w:p>
        </w:tc>
        <w:tc>
          <w:tcPr>
            <w:tcW w:w="2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 under MFRS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$728,262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$ 777,116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$ 786,024</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(i)   Elimination effects of inflation</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30,570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25,467</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33,876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(ii)</w:t>
            </w: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retirement obligations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6000" w:type="dxa"/>
            <w:vAlign w:val="bottom"/>
          </w:tcPr>
          <w:p>
            <w:pPr>
              <w:ind w:left="40"/>
              <w:spacing w:after="0"/>
              <w:rPr>
                <w:sz w:val="20"/>
                <w:szCs w:val="20"/>
                <w:color w:val="auto"/>
              </w:rPr>
            </w:pPr>
            <w:r>
              <w:rPr>
                <w:rFonts w:ascii="Arial" w:cs="Arial" w:eastAsia="Arial" w:hAnsi="Arial"/>
                <w:sz w:val="18"/>
                <w:szCs w:val="18"/>
                <w:color w:val="auto"/>
              </w:rPr>
              <w:t>Rent holidays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411</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(4,664)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6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PTU asset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0" w:type="dxa"/>
            <w:vAlign w:val="bottom"/>
            <w:vMerge w:val="restart"/>
          </w:tcPr>
          <w:p>
            <w:pPr>
              <w:ind w:left="120"/>
              <w:spacing w:after="0"/>
              <w:rPr>
                <w:sz w:val="20"/>
                <w:szCs w:val="20"/>
                <w:color w:val="auto"/>
              </w:rPr>
            </w:pPr>
            <w:r>
              <w:rPr>
                <w:rFonts w:ascii="Arial" w:cs="Arial" w:eastAsia="Arial" w:hAnsi="Arial"/>
                <w:sz w:val="18"/>
                <w:szCs w:val="18"/>
                <w:color w:val="auto"/>
              </w:rPr>
              <w:t>Total U.S. GAAP adjustments</w:t>
            </w: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30,575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21,994</w:t>
            </w:r>
          </w:p>
        </w:tc>
        <w:tc>
          <w:tcPr>
            <w:tcW w:w="3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33,201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  Deferred income tax effects on U.S. GAAP adjustments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22,927</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(5,412)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912" w:type="dxa"/>
        <w:tblCellMar>
          <w:top w:w="0" w:type="dxa"/>
          <w:left w:w="0" w:type="dxa"/>
          <w:bottom w:w="0" w:type="dxa"/>
          <w:right w:w="0" w:type="dxa"/>
        </w:tblCellMar>
      </w:tblP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Consolidated net income under U.S. GAAP</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781,764</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$ 793,698</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$ 821,481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(Unaudited)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stockholders’ equity under MFRS (1)</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$ 5,825,437</w:t>
            </w: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5,546,276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   Elimination effects of inflation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(449,849)</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(470,312)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  Change in employee retirement obligations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(iii)</w:t>
            </w:r>
          </w:p>
        </w:tc>
        <w:tc>
          <w:tcPr>
            <w:tcW w:w="5560" w:type="dxa"/>
            <w:vAlign w:val="bottom"/>
          </w:tcPr>
          <w:p>
            <w:pPr>
              <w:ind w:left="60"/>
              <w:spacing w:after="0"/>
              <w:rPr>
                <w:sz w:val="20"/>
                <w:szCs w:val="20"/>
                <w:color w:val="auto"/>
              </w:rPr>
            </w:pPr>
            <w:r>
              <w:rPr>
                <w:rFonts w:ascii="Arial" w:cs="Arial" w:eastAsia="Arial" w:hAnsi="Arial"/>
                <w:sz w:val="18"/>
                <w:szCs w:val="18"/>
                <w:color w:val="auto"/>
              </w:rPr>
              <w:t>Rent holidays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(39,600)</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(40,011)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goodwill</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(v)</w:t>
            </w:r>
          </w:p>
        </w:tc>
        <w:tc>
          <w:tcPr>
            <w:tcW w:w="5560" w:type="dxa"/>
            <w:vAlign w:val="bottom"/>
          </w:tcPr>
          <w:p>
            <w:pPr>
              <w:ind w:left="80"/>
              <w:spacing w:after="0"/>
              <w:rPr>
                <w:sz w:val="20"/>
                <w:szCs w:val="20"/>
                <w:color w:val="auto"/>
              </w:rPr>
            </w:pPr>
            <w:r>
              <w:rPr>
                <w:rFonts w:ascii="Arial" w:cs="Arial" w:eastAsia="Arial" w:hAnsi="Arial"/>
                <w:sz w:val="18"/>
                <w:szCs w:val="18"/>
                <w:color w:val="auto"/>
              </w:rPr>
              <w:t>Deferred PTU asset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U.S. GAAP adjustments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(475,043)</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(498,239)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60"/>
              <w:spacing w:after="0"/>
              <w:rPr>
                <w:sz w:val="20"/>
                <w:szCs w:val="20"/>
                <w:color w:val="auto"/>
              </w:rPr>
            </w:pPr>
            <w:r>
              <w:rPr>
                <w:rFonts w:ascii="Arial" w:cs="Arial" w:eastAsia="Arial" w:hAnsi="Arial"/>
                <w:sz w:val="18"/>
                <w:szCs w:val="18"/>
                <w:color w:val="auto"/>
              </w:rPr>
              <w:t>(vi)  Deferred income tax effects on U.S. GAAP adjustments</w:t>
            </w: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140,543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118,193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stockholders’ equity under U.S. GAAP</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$ 5,490,937</w:t>
            </w: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5,166,230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92" w:right="420" w:hanging="446"/>
        <w:spacing w:after="0" w:line="268" w:lineRule="auto"/>
        <w:tabs>
          <w:tab w:leader="none" w:pos="8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Individual adjustments to the accompanying reconciliation of stockholders’ equity include the effects of translation of foreign operations whose functional currency is different from the Mexican peso.</w:t>
      </w:r>
    </w:p>
    <w:p>
      <w:pPr>
        <w:spacing w:after="0" w:line="50" w:lineRule="exact"/>
        <w:rPr>
          <w:rFonts w:ascii="Arial" w:cs="Arial" w:eastAsia="Arial" w:hAnsi="Arial"/>
          <w:sz w:val="18"/>
          <w:szCs w:val="18"/>
          <w:color w:val="auto"/>
        </w:rPr>
      </w:pPr>
    </w:p>
    <w:p>
      <w:pPr>
        <w:ind w:left="1472" w:right="20" w:hanging="567"/>
        <w:spacing w:after="0" w:line="290" w:lineRule="auto"/>
        <w:tabs>
          <w:tab w:leader="none" w:pos="1472"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Elimination of the effects of inflation</w:t>
      </w:r>
      <w:r>
        <w:rPr>
          <w:rFonts w:ascii="Arial" w:cs="Arial" w:eastAsia="Arial" w:hAnsi="Arial"/>
          <w:sz w:val="16"/>
          <w:szCs w:val="16"/>
          <w:color w:val="auto"/>
        </w:rPr>
        <w:t>—Through December 31, 2007, MFRS required the recognition of the comprehensive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inflation on consolidated financial information. Beginning January 1, 2008, MFRS only requires the recognition of the effects of inflation for entities that operate in an inflationary environment (one whose cumulative inflation for the preceding three-year periods equals or exceeds 26%). Since that date, Mexico has ceased to be an inflationary economic environment. However assets, liabilities and stockholders’ equity under MFRS include the effects of inflation recognized through December 31, 2007. Additionally, certain of the Company’s Latin American operations operate in inflationary economic environments for certain of the years presented in the accompanying consolidated financial statements. The Company has continued to recognize the comprehensive effects of inflation for those operations.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233" w:name="page234"/>
    <w:bookmarkEnd w:id="233"/>
    <w:p>
      <w:pPr>
        <w:ind w:left="587"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GAAP generally requires the use of the historical cost basis of accounting, except when an entity operates in a highly inflationary economy. Accordingly, the comprehensive effects of inflation recognized under MFRS have been eliminated in the accompanying reconciliation of consolidated net income and stockholders’ equity to U.S. GAAP.</w:t>
      </w:r>
    </w:p>
    <w:p>
      <w:pPr>
        <w:spacing w:after="0" w:line="59" w:lineRule="exact"/>
        <w:rPr>
          <w:sz w:val="20"/>
          <w:szCs w:val="20"/>
          <w:color w:val="auto"/>
        </w:rPr>
      </w:pPr>
    </w:p>
    <w:p>
      <w:pPr>
        <w:ind w:left="567" w:hanging="567"/>
        <w:spacing w:after="0" w:line="256" w:lineRule="auto"/>
        <w:tabs>
          <w:tab w:leader="none" w:pos="567"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Employee retirement obligations</w:t>
      </w:r>
      <w:r>
        <w:rPr>
          <w:rFonts w:ascii="Arial" w:cs="Arial" w:eastAsia="Arial" w:hAnsi="Arial"/>
          <w:sz w:val="18"/>
          <w:szCs w:val="18"/>
          <w:color w:val="auto"/>
        </w:rPr>
        <w:t>—Under MFRS, liabilities from seniority premiums, pension plans and severance payment are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accrue, determined based on actuarial calculations using the projected unit credit method. The liability recognized under MFRS does not include unrecognized items such as actuarial gains and losses and prior service costs, which under MFRS, will be amortized to the liability generally over the remaining service period of the employees.</w:t>
      </w:r>
    </w:p>
    <w:p>
      <w:pPr>
        <w:spacing w:after="0" w:line="143" w:lineRule="exact"/>
        <w:rPr>
          <w:rFonts w:ascii="Arial" w:cs="Arial" w:eastAsia="Arial" w:hAnsi="Arial"/>
          <w:sz w:val="18"/>
          <w:szCs w:val="18"/>
          <w:color w:val="auto"/>
        </w:rPr>
      </w:pPr>
    </w:p>
    <w:p>
      <w:pPr>
        <w:ind w:left="587" w:right="60"/>
        <w:spacing w:after="0" w:line="283" w:lineRule="auto"/>
        <w:rPr>
          <w:rFonts w:ascii="Arial" w:cs="Arial" w:eastAsia="Arial" w:hAnsi="Arial"/>
          <w:sz w:val="18"/>
          <w:szCs w:val="18"/>
          <w:color w:val="auto"/>
        </w:rPr>
      </w:pPr>
      <w:r>
        <w:rPr>
          <w:rFonts w:ascii="Arial" w:cs="Arial" w:eastAsia="Arial" w:hAnsi="Arial"/>
          <w:sz w:val="16"/>
          <w:szCs w:val="16"/>
          <w:color w:val="auto"/>
        </w:rPr>
        <w:t>U.S. GAAP requires recognition of the fully overfunded or underfunded status of the liability for defined benefit employee obligations, with an offsetting entry to other comprehensive income. The amounts included in other comprehensive income are reclassified into results generally over the remaining service period of the employees. Additionally, for certain termination benefits under MFRS, modifications to a plan and the related prior service costs are recognized within results in the year of modification; under U.S. GAAP, these prior service costs are recognized in other comprehensive income and amortized to results generally over the remaining service period of the</w:t>
      </w:r>
    </w:p>
    <w:p>
      <w:pPr>
        <w:spacing w:after="0" w:line="2" w:lineRule="exact"/>
        <w:rPr>
          <w:rFonts w:ascii="Arial" w:cs="Arial" w:eastAsia="Arial" w:hAnsi="Arial"/>
          <w:sz w:val="18"/>
          <w:szCs w:val="18"/>
          <w:color w:val="auto"/>
        </w:rPr>
      </w:pPr>
    </w:p>
    <w:p>
      <w:pPr>
        <w:ind w:left="587" w:right="200"/>
        <w:spacing w:after="0" w:line="281" w:lineRule="auto"/>
        <w:rPr>
          <w:rFonts w:ascii="Arial" w:cs="Arial" w:eastAsia="Arial" w:hAnsi="Arial"/>
          <w:sz w:val="18"/>
          <w:szCs w:val="18"/>
          <w:color w:val="auto"/>
        </w:rPr>
      </w:pPr>
      <w:r>
        <w:rPr>
          <w:rFonts w:ascii="Arial" w:cs="Arial" w:eastAsia="Arial" w:hAnsi="Arial"/>
          <w:sz w:val="16"/>
          <w:szCs w:val="16"/>
          <w:color w:val="auto"/>
        </w:rPr>
        <w:t>employees. Accordingly, the adjustment in the accompanying reconciliations of consolidated net income and stockholders’ equity to U.S. GAAP include the recognition of the fully underfunded status of the obligation under U.S. GAAP within other comprehensive income and</w:t>
      </w:r>
    </w:p>
    <w:p>
      <w:pPr>
        <w:spacing w:after="0" w:line="1" w:lineRule="exact"/>
        <w:rPr>
          <w:rFonts w:ascii="Arial" w:cs="Arial" w:eastAsia="Arial" w:hAnsi="Arial"/>
          <w:sz w:val="18"/>
          <w:szCs w:val="18"/>
          <w:color w:val="auto"/>
        </w:rPr>
      </w:pPr>
    </w:p>
    <w:p>
      <w:pPr>
        <w:jc w:val="both"/>
        <w:ind w:left="587" w:right="240" w:hanging="8"/>
        <w:spacing w:after="0" w:line="255" w:lineRule="auto"/>
        <w:tabs>
          <w:tab w:leader="none" w:pos="84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difference in recognition of prior service costs related to certain termination benefits, given modifications to such benefits in 2010, for which under MFRS, the full amount of the prior service costs were recognized in results in that year while for U.S. GAAP, these costs will continue to be amortized to results over future years.</w:t>
      </w:r>
    </w:p>
    <w:p>
      <w:pPr>
        <w:spacing w:after="0" w:line="144" w:lineRule="exact"/>
        <w:rPr>
          <w:sz w:val="20"/>
          <w:szCs w:val="20"/>
          <w:color w:val="auto"/>
        </w:rPr>
      </w:pPr>
    </w:p>
    <w:p>
      <w:pPr>
        <w:ind w:left="587"/>
        <w:spacing w:after="0"/>
        <w:rPr>
          <w:sz w:val="20"/>
          <w:szCs w:val="20"/>
          <w:color w:val="auto"/>
        </w:rPr>
      </w:pPr>
      <w:r>
        <w:rPr>
          <w:rFonts w:ascii="Arial" w:cs="Arial" w:eastAsia="Arial" w:hAnsi="Arial"/>
          <w:sz w:val="18"/>
          <w:szCs w:val="18"/>
          <w:color w:val="auto"/>
        </w:rPr>
        <w:t>In addition, U.S. GAAP requires certain additional disclosures as shown below:</w:t>
      </w:r>
    </w:p>
    <w:p>
      <w:pPr>
        <w:spacing w:after="0" w:line="195" w:lineRule="exact"/>
        <w:rPr>
          <w:sz w:val="20"/>
          <w:szCs w:val="20"/>
          <w:color w:val="auto"/>
        </w:rPr>
      </w:pPr>
    </w:p>
    <w:tbl>
      <w:tblPr>
        <w:tblLayout w:type="fixed"/>
        <w:tblInd w:w="467"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940" w:type="dxa"/>
            <w:vAlign w:val="bottom"/>
            <w:gridSpan w:val="4"/>
          </w:tcPr>
          <w:p>
            <w:pPr>
              <w:ind w:left="1200"/>
              <w:spacing w:after="0"/>
              <w:rPr>
                <w:sz w:val="20"/>
                <w:szCs w:val="20"/>
                <w:color w:val="auto"/>
              </w:rPr>
            </w:pPr>
            <w:r>
              <w:rPr>
                <w:rFonts w:ascii="Arial" w:cs="Arial" w:eastAsia="Arial" w:hAnsi="Arial"/>
                <w:sz w:val="14"/>
                <w:szCs w:val="14"/>
                <w:b w:val="1"/>
                <w:bCs w:val="1"/>
                <w:color w:val="auto"/>
              </w:rPr>
              <w:t>Employee retirement</w:t>
            </w: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Employee retirement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obligations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obligations</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41,780</w:t>
            </w:r>
          </w:p>
        </w:tc>
        <w:tc>
          <w:tcPr>
            <w:tcW w:w="520" w:type="dxa"/>
            <w:vAlign w:val="bottom"/>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Change in benefit obligation: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60"/>
              <w:spacing w:after="0"/>
              <w:rPr>
                <w:sz w:val="20"/>
                <w:szCs w:val="20"/>
                <w:color w:val="auto"/>
              </w:rPr>
            </w:pPr>
            <w:r>
              <w:rPr>
                <w:rFonts w:ascii="Arial" w:cs="Arial" w:eastAsia="Arial" w:hAnsi="Arial"/>
                <w:sz w:val="18"/>
                <w:szCs w:val="18"/>
                <w:color w:val="auto"/>
              </w:rPr>
              <w:t>Benefit obligation at beginning of year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35,518</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Service cost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6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transition obligation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60"/>
              <w:spacing w:after="0"/>
              <w:rPr>
                <w:sz w:val="20"/>
                <w:szCs w:val="20"/>
                <w:color w:val="auto"/>
              </w:rPr>
            </w:pPr>
            <w:r>
              <w:rPr>
                <w:rFonts w:ascii="Arial" w:cs="Arial" w:eastAsia="Arial" w:hAnsi="Arial"/>
                <w:sz w:val="18"/>
                <w:szCs w:val="18"/>
                <w:color w:val="auto"/>
              </w:rPr>
              <w:t>Amortization of prior service cost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1,371</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Actuarial gain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(7,830)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920" w:type="dxa"/>
            <w:vAlign w:val="bottom"/>
          </w:tcPr>
          <w:p>
            <w:pPr>
              <w:ind w:left="860"/>
              <w:spacing w:after="0"/>
              <w:rPr>
                <w:sz w:val="20"/>
                <w:szCs w:val="20"/>
                <w:color w:val="auto"/>
              </w:rPr>
            </w:pPr>
            <w:r>
              <w:rPr>
                <w:rFonts w:ascii="Arial" w:cs="Arial" w:eastAsia="Arial" w:hAnsi="Arial"/>
                <w:sz w:val="18"/>
                <w:szCs w:val="18"/>
                <w:color w:val="auto"/>
              </w:rPr>
              <w:t>Benefit paid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(2,972)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Benefit obligation at end of year</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20" w:type="dxa"/>
            <w:vAlign w:val="bottom"/>
          </w:tcPr>
          <w:p>
            <w:pPr>
              <w:spacing w:after="0"/>
              <w:rPr>
                <w:sz w:val="24"/>
                <w:szCs w:val="24"/>
                <w:color w:val="auto"/>
              </w:rPr>
            </w:pPr>
          </w:p>
        </w:tc>
        <w:tc>
          <w:tcPr>
            <w:tcW w:w="2940" w:type="dxa"/>
            <w:vAlign w:val="bottom"/>
            <w:gridSpan w:val="4"/>
          </w:tcPr>
          <w:p>
            <w:pPr>
              <w:ind w:left="1200"/>
              <w:spacing w:after="0"/>
              <w:rPr>
                <w:sz w:val="20"/>
                <w:szCs w:val="20"/>
                <w:color w:val="auto"/>
              </w:rPr>
            </w:pPr>
            <w:r>
              <w:rPr>
                <w:rFonts w:ascii="Arial" w:cs="Arial" w:eastAsia="Arial" w:hAnsi="Arial"/>
                <w:sz w:val="14"/>
                <w:szCs w:val="14"/>
                <w:b w:val="1"/>
                <w:bCs w:val="1"/>
                <w:color w:val="auto"/>
              </w:rPr>
              <w:t>Employee retirement</w:t>
            </w: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Employee retirement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obligations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obligations</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9,255</w:t>
            </w:r>
          </w:p>
        </w:tc>
        <w:tc>
          <w:tcPr>
            <w:tcW w:w="52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Amortization of transition obligation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Curtailment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(2,395)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net gain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Net periodic cost</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10,235</w:t>
            </w:r>
          </w:p>
        </w:tc>
        <w:tc>
          <w:tcPr>
            <w:tcW w:w="520" w:type="dxa"/>
            <w:vAlign w:val="bottom"/>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vMerge w:val="restart"/>
          </w:tcPr>
          <w:p>
            <w:pPr>
              <w:ind w:left="32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7"/>
          </w:cols>
          <w:pgMar w:left="1153" w:top="280" w:right="239" w:bottom="1440" w:gutter="0" w:footer="0" w:header="0"/>
        </w:sectPr>
      </w:pPr>
    </w:p>
    <w:bookmarkStart w:id="234" w:name="page235"/>
    <w:bookmarkEnd w:id="234"/>
    <w:p>
      <w:pPr>
        <w:ind w:left="587"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in accumulated other comprehensive income expected to be recognized as component of net periodic benefit cost over the following fiscal year is $519.</w:t>
      </w:r>
    </w:p>
    <w:p>
      <w:pPr>
        <w:spacing w:after="0" w:line="132" w:lineRule="exact"/>
        <w:rPr>
          <w:sz w:val="20"/>
          <w:szCs w:val="20"/>
          <w:color w:val="auto"/>
        </w:rPr>
      </w:pPr>
    </w:p>
    <w:p>
      <w:pPr>
        <w:ind w:left="587" w:right="20"/>
        <w:spacing w:after="0" w:line="268" w:lineRule="auto"/>
        <w:rPr>
          <w:sz w:val="20"/>
          <w:szCs w:val="20"/>
          <w:color w:val="auto"/>
        </w:rPr>
      </w:pPr>
      <w:r>
        <w:rPr>
          <w:rFonts w:ascii="Arial" w:cs="Arial" w:eastAsia="Arial" w:hAnsi="Arial"/>
          <w:sz w:val="18"/>
          <w:szCs w:val="18"/>
          <w:color w:val="auto"/>
        </w:rPr>
        <w:t>Weighted-average assumptions used to determine benefit obligations and net periodic benefit cost as of and for the year ended December 31, 2011 and 2010:</w:t>
      </w:r>
    </w:p>
    <w:p>
      <w:pPr>
        <w:spacing w:after="0" w:line="181" w:lineRule="exact"/>
        <w:rPr>
          <w:sz w:val="20"/>
          <w:szCs w:val="20"/>
          <w:color w:val="auto"/>
        </w:rPr>
      </w:pPr>
    </w:p>
    <w:tbl>
      <w:tblPr>
        <w:tblLayout w:type="fixed"/>
        <w:tblInd w:w="927"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Discount of the projected benefit obligation at present value</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Salary increase</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5.86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Minimum wage increase rate</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r>
    </w:tbl>
    <w:p>
      <w:pPr>
        <w:spacing w:after="0" w:line="73" w:lineRule="exact"/>
        <w:rPr>
          <w:sz w:val="20"/>
          <w:szCs w:val="20"/>
          <w:color w:val="auto"/>
        </w:rPr>
      </w:pPr>
    </w:p>
    <w:p>
      <w:pPr>
        <w:ind w:left="567" w:hanging="567"/>
        <w:spacing w:after="0"/>
        <w:tabs>
          <w:tab w:leader="none" w:pos="567"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Rent holidays</w:t>
      </w:r>
      <w:r>
        <w:rPr>
          <w:rFonts w:ascii="Arial" w:cs="Arial" w:eastAsia="Arial" w:hAnsi="Arial"/>
          <w:sz w:val="18"/>
          <w:szCs w:val="18"/>
          <w:color w:val="auto"/>
        </w:rPr>
        <w:t>—Under MFRS, rental expense is recorded beginning when the related store initiates operations.</w:t>
      </w:r>
    </w:p>
    <w:p>
      <w:pPr>
        <w:spacing w:after="0" w:line="171" w:lineRule="exact"/>
        <w:rPr>
          <w:rFonts w:ascii="Arial" w:cs="Arial" w:eastAsia="Arial" w:hAnsi="Arial"/>
          <w:sz w:val="18"/>
          <w:szCs w:val="18"/>
          <w:color w:val="auto"/>
        </w:rPr>
      </w:pPr>
    </w:p>
    <w:p>
      <w:pPr>
        <w:ind w:left="587" w:right="240"/>
        <w:spacing w:after="0" w:line="268" w:lineRule="auto"/>
        <w:rPr>
          <w:rFonts w:ascii="Arial" w:cs="Arial" w:eastAsia="Arial" w:hAnsi="Arial"/>
          <w:sz w:val="18"/>
          <w:szCs w:val="18"/>
          <w:color w:val="auto"/>
        </w:rPr>
      </w:pPr>
      <w:r>
        <w:rPr>
          <w:rFonts w:ascii="Arial" w:cs="Arial" w:eastAsia="Arial" w:hAnsi="Arial"/>
          <w:sz w:val="18"/>
          <w:szCs w:val="18"/>
          <w:color w:val="auto"/>
        </w:rPr>
        <w:t>Under U.S. GAAP, rental expense is recognized on a straight-line basis, or another more appropriate systematic approach, which does not necessarily depend upon initiation of operations of the related store.</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Amortization of goodwill</w:t>
      </w:r>
      <w:r>
        <w:rPr>
          <w:rFonts w:ascii="Arial" w:cs="Arial" w:eastAsia="Arial" w:hAnsi="Arial"/>
          <w:sz w:val="18"/>
          <w:szCs w:val="18"/>
          <w:color w:val="auto"/>
        </w:rPr>
        <w:t>—Under MFRS, goodwill stemming from an acquisition of a business was amortized through 2004.</w:t>
      </w:r>
    </w:p>
    <w:p>
      <w:pPr>
        <w:spacing w:after="0" w:line="171" w:lineRule="exact"/>
        <w:rPr>
          <w:rFonts w:ascii="Arial" w:cs="Arial" w:eastAsia="Arial" w:hAnsi="Arial"/>
          <w:sz w:val="18"/>
          <w:szCs w:val="18"/>
          <w:color w:val="auto"/>
        </w:rPr>
      </w:pPr>
    </w:p>
    <w:p>
      <w:pPr>
        <w:ind w:left="587" w:right="160"/>
        <w:spacing w:after="0" w:line="332" w:lineRule="auto"/>
        <w:rPr>
          <w:rFonts w:ascii="Arial" w:cs="Arial" w:eastAsia="Arial" w:hAnsi="Arial"/>
          <w:sz w:val="18"/>
          <w:szCs w:val="18"/>
          <w:color w:val="auto"/>
        </w:rPr>
      </w:pPr>
      <w:r>
        <w:rPr>
          <w:rFonts w:ascii="Arial" w:cs="Arial" w:eastAsia="Arial" w:hAnsi="Arial"/>
          <w:sz w:val="16"/>
          <w:szCs w:val="16"/>
          <w:color w:val="auto"/>
        </w:rPr>
        <w:t>Under U.S. GAAP, amortization of goodwill ceased on January 1, 2002. The adjustment to the reconciliation of consolidated stockholders’ equity represents the amortization of goodwill which occurred on goodwill from January 1, 2002 to December 31, 2005.</w:t>
      </w:r>
    </w:p>
    <w:p>
      <w:pPr>
        <w:spacing w:after="0" w:line="4" w:lineRule="exact"/>
        <w:rPr>
          <w:rFonts w:ascii="Arial" w:cs="Arial" w:eastAsia="Arial" w:hAnsi="Arial"/>
          <w:sz w:val="18"/>
          <w:szCs w:val="18"/>
          <w:color w:val="auto"/>
        </w:rPr>
      </w:pPr>
    </w:p>
    <w:p>
      <w:pPr>
        <w:ind w:left="567" w:right="80" w:hanging="567"/>
        <w:spacing w:after="0" w:line="256" w:lineRule="auto"/>
        <w:tabs>
          <w:tab w:leader="none" w:pos="567"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Deferred PTU asset</w:t>
      </w:r>
      <w:r>
        <w:rPr>
          <w:rFonts w:ascii="Arial" w:cs="Arial" w:eastAsia="Arial" w:hAnsi="Arial"/>
          <w:sz w:val="18"/>
          <w:szCs w:val="18"/>
          <w:color w:val="auto"/>
        </w:rPr>
        <w:t>—Mexican statutory requirements require Mexican entities to pay statutory employee profit sharing (PTU)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Current PTU is recorded in the results of the year in which it is incurred. The recognition of deferred PTU is also required, whether it results in a net liability or net asset position, and is determined considering temporary differences between the accounting and the PTU bases of assets and liabilities.</w:t>
      </w:r>
    </w:p>
    <w:p>
      <w:pPr>
        <w:spacing w:after="0" w:line="143" w:lineRule="exact"/>
        <w:rPr>
          <w:rFonts w:ascii="Arial" w:cs="Arial" w:eastAsia="Arial" w:hAnsi="Arial"/>
          <w:sz w:val="18"/>
          <w:szCs w:val="18"/>
          <w:color w:val="auto"/>
        </w:rPr>
      </w:pPr>
    </w:p>
    <w:p>
      <w:pPr>
        <w:ind w:left="587"/>
        <w:spacing w:after="0" w:line="256" w:lineRule="auto"/>
        <w:rPr>
          <w:rFonts w:ascii="Arial" w:cs="Arial" w:eastAsia="Arial" w:hAnsi="Arial"/>
          <w:sz w:val="18"/>
          <w:szCs w:val="18"/>
          <w:color w:val="auto"/>
        </w:rPr>
      </w:pPr>
      <w:r>
        <w:rPr>
          <w:rFonts w:ascii="Arial" w:cs="Arial" w:eastAsia="Arial" w:hAnsi="Arial"/>
          <w:sz w:val="18"/>
          <w:szCs w:val="18"/>
          <w:color w:val="auto"/>
        </w:rPr>
        <w:t>While U.S. GAAP also contemplates the recognition of a net deferred PTU liability, it does not permit the recognition of a net deferred PTU asset, given that it does not necessarily embody a probable future benefit to contribute directly or indirectly to the future net cash inflows of an entity. Accordingly, the adjustment in the accompanying reconciliation of consolidated net income and stockholders’ equity represents the removal of such deferred PTU asset.</w:t>
      </w:r>
    </w:p>
    <w:p>
      <w:pPr>
        <w:spacing w:after="0" w:line="62" w:lineRule="exact"/>
        <w:rPr>
          <w:rFonts w:ascii="Arial" w:cs="Arial" w:eastAsia="Arial" w:hAnsi="Arial"/>
          <w:sz w:val="18"/>
          <w:szCs w:val="18"/>
          <w:color w:val="auto"/>
        </w:rPr>
      </w:pPr>
    </w:p>
    <w:p>
      <w:pPr>
        <w:ind w:left="567" w:right="40" w:hanging="567"/>
        <w:spacing w:after="0" w:line="306" w:lineRule="auto"/>
        <w:tabs>
          <w:tab w:leader="none" w:pos="567"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Deferred income taxes</w:t>
      </w:r>
      <w:r>
        <w:rPr>
          <w:rFonts w:ascii="Arial" w:cs="Arial" w:eastAsia="Arial" w:hAnsi="Arial"/>
          <w:sz w:val="16"/>
          <w:szCs w:val="16"/>
          <w:color w:val="auto"/>
        </w:rPr>
        <w:t>—The recognition of income taxes, including deferred income taxes, under MFRS considers a methodology similar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required under U.S. GAAP. The adjustments to the accompanying reconciliations of consolidated net income and stockholders’ equity relate to deferred income taxes represent the deferred income tax effects of the aforementioned U.S. GAAP adjustments.</w:t>
      </w:r>
    </w:p>
    <w:p>
      <w:pPr>
        <w:spacing w:after="0" w:line="106" w:lineRule="exact"/>
        <w:rPr>
          <w:rFonts w:ascii="Arial" w:cs="Arial" w:eastAsia="Arial" w:hAnsi="Arial"/>
          <w:sz w:val="16"/>
          <w:szCs w:val="16"/>
          <w:color w:val="auto"/>
        </w:rPr>
      </w:pPr>
    </w:p>
    <w:p>
      <w:pPr>
        <w:ind w:left="587" w:right="40"/>
        <w:spacing w:after="0" w:line="268" w:lineRule="auto"/>
        <w:rPr>
          <w:rFonts w:ascii="Arial" w:cs="Arial" w:eastAsia="Arial" w:hAnsi="Arial"/>
          <w:sz w:val="16"/>
          <w:szCs w:val="16"/>
          <w:color w:val="auto"/>
        </w:rPr>
      </w:pPr>
      <w:r>
        <w:rPr>
          <w:rFonts w:ascii="Arial" w:cs="Arial" w:eastAsia="Arial" w:hAnsi="Arial"/>
          <w:sz w:val="18"/>
          <w:szCs w:val="18"/>
          <w:color w:val="auto"/>
        </w:rPr>
        <w:t>Under both MFRS and U.S. GAAP, the change in deferred income taxes resulting from the effects of accounting for inflation with respect to the tax values of assets and liabilities is recorded as a component of income tax expense.</w:t>
      </w:r>
    </w:p>
    <w:p>
      <w:pPr>
        <w:spacing w:after="0" w:line="132" w:lineRule="exact"/>
        <w:rPr>
          <w:sz w:val="20"/>
          <w:szCs w:val="20"/>
          <w:color w:val="auto"/>
        </w:rPr>
      </w:pPr>
    </w:p>
    <w:p>
      <w:pPr>
        <w:ind w:left="587" w:right="420"/>
        <w:spacing w:after="0" w:line="268" w:lineRule="auto"/>
        <w:rPr>
          <w:sz w:val="20"/>
          <w:szCs w:val="20"/>
          <w:color w:val="auto"/>
        </w:rPr>
      </w:pPr>
      <w:r>
        <w:rPr>
          <w:rFonts w:ascii="Arial" w:cs="Arial" w:eastAsia="Arial" w:hAnsi="Arial"/>
          <w:sz w:val="18"/>
          <w:szCs w:val="18"/>
          <w:color w:val="auto"/>
        </w:rPr>
        <w:t>MFRS requires the classification of the net deferred income tax asset or liability as long-term, while U.S. GAAP requires classification based on the current or long-term nature of the asset or liability to which the deferred relates.</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87"/>
          </w:cols>
          <w:pgMar w:left="1153" w:top="280" w:right="259" w:bottom="1440" w:gutter="0" w:footer="0" w:header="0"/>
        </w:sectPr>
      </w:pPr>
    </w:p>
    <w:bookmarkStart w:id="235" w:name="page236"/>
    <w:bookmarkEnd w:id="235"/>
    <w:p>
      <w:pPr>
        <w:ind w:lef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reconciliation of the net deferred income tax asset from MFRS to U.S. GAAP and the composition of the net deferred income tax asset under U.S. GAAP is as follows:</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deferred income tax asset: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deferred income tax asset under MFRS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27,224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elimination of inflation</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Effects of employee retirement obligations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rent holidays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Effects of amortization of goodwill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actuarial gains in other comprehensive income</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Total U.S. GAAP adjustments to net deferred income tax asset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140,543</w:t>
            </w:r>
          </w:p>
        </w:tc>
        <w:tc>
          <w:tcPr>
            <w:tcW w:w="2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 under U.S. GAAP</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deferred ISR asset under U.S. GAAP</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IETU asset under U.S. GAAP</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Composition of net deferred income tax asset: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ISR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deferred ISR assets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Allowance for doubtful accounts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Advanced payments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40"/>
              <w:spacing w:after="0"/>
              <w:rPr>
                <w:sz w:val="20"/>
                <w:szCs w:val="20"/>
                <w:color w:val="auto"/>
              </w:rPr>
            </w:pPr>
            <w:r>
              <w:rPr>
                <w:rFonts w:ascii="Arial" w:cs="Arial" w:eastAsia="Arial" w:hAnsi="Arial"/>
                <w:sz w:val="18"/>
                <w:szCs w:val="18"/>
                <w:color w:val="auto"/>
              </w:rPr>
              <w:t>Current deferred ISR liability – Net</w:t>
            </w: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(57,221)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 – current deferred ISR assets (liabilities):</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Rents holidays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equipment and leasehold improvements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Effect of tax loss carryforwards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Valuation allowance for deferred ISR asset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(75,587)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 – current deferred ISR asset – Net</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40"/>
              <w:spacing w:after="0"/>
              <w:rPr>
                <w:sz w:val="20"/>
                <w:szCs w:val="20"/>
                <w:color w:val="auto"/>
              </w:rPr>
            </w:pPr>
            <w:r>
              <w:rPr>
                <w:rFonts w:ascii="Arial" w:cs="Arial" w:eastAsia="Arial" w:hAnsi="Arial"/>
                <w:sz w:val="18"/>
                <w:szCs w:val="18"/>
                <w:color w:val="auto"/>
              </w:rPr>
              <w:t>Net deferred ISR asset under U.S. GAAP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208,170</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IETU</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40"/>
              <w:spacing w:after="0"/>
              <w:rPr>
                <w:sz w:val="20"/>
                <w:szCs w:val="20"/>
                <w:color w:val="auto"/>
              </w:rPr>
            </w:pPr>
            <w:r>
              <w:rPr>
                <w:rFonts w:ascii="Arial" w:cs="Arial" w:eastAsia="Arial" w:hAnsi="Arial"/>
                <w:sz w:val="18"/>
                <w:szCs w:val="18"/>
                <w:color w:val="auto"/>
              </w:rPr>
              <w:t>Current deferred IETU liability:</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 receivable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80"/>
              <w:spacing w:after="0"/>
              <w:rPr>
                <w:sz w:val="20"/>
                <w:szCs w:val="20"/>
                <w:color w:val="auto"/>
              </w:rPr>
            </w:pPr>
            <w:r>
              <w:rPr>
                <w:rFonts w:ascii="Arial" w:cs="Arial" w:eastAsia="Arial" w:hAnsi="Arial"/>
                <w:sz w:val="18"/>
                <w:szCs w:val="18"/>
                <w:color w:val="auto"/>
              </w:rPr>
              <w:t>Account receivable from affiliated companies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(49,690)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Non – current deferred IETU assets – (liabilities):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Vehicles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40"/>
              <w:spacing w:after="0"/>
              <w:rPr>
                <w:sz w:val="20"/>
                <w:szCs w:val="20"/>
                <w:color w:val="auto"/>
              </w:rPr>
            </w:pPr>
            <w:r>
              <w:rPr>
                <w:rFonts w:ascii="Arial" w:cs="Arial" w:eastAsia="Arial" w:hAnsi="Arial"/>
                <w:sz w:val="18"/>
                <w:szCs w:val="18"/>
                <w:color w:val="auto"/>
              </w:rPr>
              <w:t>Accrued expenses</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 current deferred IETU asset – Net</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ind w:left="840"/>
              <w:spacing w:after="0"/>
              <w:rPr>
                <w:sz w:val="20"/>
                <w:szCs w:val="20"/>
                <w:color w:val="auto"/>
              </w:rPr>
            </w:pPr>
            <w:r>
              <w:rPr>
                <w:rFonts w:ascii="Arial" w:cs="Arial" w:eastAsia="Arial" w:hAnsi="Arial"/>
                <w:sz w:val="18"/>
                <w:szCs w:val="18"/>
                <w:color w:val="auto"/>
              </w:rPr>
              <w:t>Total IETU liability asset under U.S. GAAP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(40,403)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jc w:val="right"/>
              <w:ind w:right="1032"/>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1440" w:top="280" w:right="519" w:bottom="1440" w:gutter="0" w:footer="0" w:header="0"/>
        </w:sectPr>
      </w:pPr>
    </w:p>
    <w:bookmarkStart w:id="236" w:name="page237"/>
    <w:bookmarkEnd w:id="236"/>
    <w:p>
      <w:pPr>
        <w:ind w:lef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GAAP also provides guidance regarding recognition, measurement and disclosure of uncertain tax positions taken by an enterprise. If an entity is unable to conclude that it is not more likely than not that the position it took will be upheld upon examination by the related tax authorities, all or a portion of the benefit related to such tax position may not be recognized. The Company has not taken any tax position for which it does not believe that it is more likely than not that the full amount of the benefit taken will be sustained upon review, based on technical merits of the position taken. The tax years that remain subject to examination by tax authorities are 2000 to 2010.</w:t>
      </w:r>
    </w:p>
    <w:p>
      <w:pPr>
        <w:spacing w:after="0" w:line="35" w:lineRule="exact"/>
        <w:rPr>
          <w:sz w:val="20"/>
          <w:szCs w:val="20"/>
          <w:color w:val="auto"/>
        </w:rPr>
      </w:pPr>
    </w:p>
    <w:p>
      <w:pPr>
        <w:ind w:left="720" w:hanging="440"/>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Additional presentation and disclosure differences </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80" w:right="60" w:hanging="441"/>
        <w:spacing w:after="0" w:line="294" w:lineRule="auto"/>
        <w:tabs>
          <w:tab w:leader="none" w:pos="1180" w:val="left"/>
        </w:tabs>
        <w:numPr>
          <w:ilvl w:val="1"/>
          <w:numId w:val="158"/>
        </w:numPr>
        <w:rPr>
          <w:rFonts w:ascii="Arial" w:cs="Arial" w:eastAsia="Arial" w:hAnsi="Arial"/>
          <w:sz w:val="16"/>
          <w:szCs w:val="16"/>
          <w:color w:val="auto"/>
        </w:rPr>
      </w:pPr>
      <w:r>
        <w:rPr>
          <w:rFonts w:ascii="Arial" w:cs="Arial" w:eastAsia="Arial" w:hAnsi="Arial"/>
          <w:sz w:val="16"/>
          <w:szCs w:val="16"/>
          <w:i w:val="1"/>
          <w:iCs w:val="1"/>
          <w:color w:val="auto"/>
        </w:rPr>
        <w:t>Fair value of financial instruments and fair value measurements</w:t>
      </w:r>
      <w:r>
        <w:rPr>
          <w:rFonts w:ascii="Arial" w:cs="Arial" w:eastAsia="Arial" w:hAnsi="Arial"/>
          <w:sz w:val="16"/>
          <w:szCs w:val="16"/>
          <w:b w:val="1"/>
          <w:bCs w:val="1"/>
          <w:i w:val="1"/>
          <w:iCs w:val="1"/>
          <w:color w:val="auto"/>
        </w:rPr>
        <w:t>—</w:t>
      </w:r>
      <w:r>
        <w:rPr>
          <w:rFonts w:ascii="Arial" w:cs="Arial" w:eastAsia="Arial" w:hAnsi="Arial"/>
          <w:sz w:val="16"/>
          <w:szCs w:val="16"/>
          <w:color w:val="auto"/>
        </w:rPr>
        <w:t>Under U.S. GAAP, an entity is required to maximize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observable inputs and minimize the use of unobservable inputs when measuring fair value. U.S. GAAP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Inputs used to measure fair value fall within one of the following three levels:</w:t>
      </w:r>
    </w:p>
    <w:p>
      <w:pPr>
        <w:spacing w:after="0" w:line="115"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applies to assets or liabilities for which there are quoted prices in active markets for identical assets or liabilities.</w:t>
      </w:r>
    </w:p>
    <w:p>
      <w:pPr>
        <w:spacing w:after="0" w:line="194" w:lineRule="exact"/>
        <w:rPr>
          <w:rFonts w:ascii="Arial" w:cs="Arial" w:eastAsia="Arial" w:hAnsi="Arial"/>
          <w:sz w:val="16"/>
          <w:szCs w:val="16"/>
          <w:color w:val="auto"/>
        </w:rPr>
      </w:pPr>
    </w:p>
    <w:p>
      <w:pPr>
        <w:ind w:left="1200" w:right="80"/>
        <w:spacing w:after="0" w:line="298" w:lineRule="auto"/>
        <w:rPr>
          <w:rFonts w:ascii="Arial" w:cs="Arial" w:eastAsia="Arial" w:hAnsi="Arial"/>
          <w:sz w:val="16"/>
          <w:szCs w:val="16"/>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applies to assets or liabilities for which there are inputs other than quoted prices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rFonts w:ascii="Arial" w:cs="Arial" w:eastAsia="Arial" w:hAnsi="Arial"/>
          <w:sz w:val="16"/>
          <w:szCs w:val="16"/>
          <w:color w:val="auto"/>
        </w:rPr>
      </w:pPr>
    </w:p>
    <w:p>
      <w:pPr>
        <w:ind w:left="1200"/>
        <w:spacing w:after="0" w:line="268" w:lineRule="auto"/>
        <w:rPr>
          <w:rFonts w:ascii="Arial" w:cs="Arial" w:eastAsia="Arial" w:hAnsi="Arial"/>
          <w:sz w:val="16"/>
          <w:szCs w:val="16"/>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applies to assets or liabilities for which there are unobservable inputs to the valuation methodology that are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measurement of the fair value of the assets or liabilities.</w:t>
      </w:r>
    </w:p>
    <w:p>
      <w:pPr>
        <w:spacing w:after="0" w:line="131" w:lineRule="exact"/>
        <w:rPr>
          <w:rFonts w:ascii="Arial" w:cs="Arial" w:eastAsia="Arial" w:hAnsi="Arial"/>
          <w:sz w:val="16"/>
          <w:szCs w:val="16"/>
          <w:color w:val="auto"/>
        </w:rPr>
      </w:pPr>
    </w:p>
    <w:p>
      <w:pPr>
        <w:ind w:left="1200" w:right="200"/>
        <w:spacing w:after="0" w:line="259" w:lineRule="auto"/>
        <w:rPr>
          <w:rFonts w:ascii="Arial" w:cs="Arial" w:eastAsia="Arial" w:hAnsi="Arial"/>
          <w:sz w:val="16"/>
          <w:szCs w:val="16"/>
          <w:color w:val="auto"/>
        </w:rPr>
      </w:pPr>
      <w:r>
        <w:rPr>
          <w:rFonts w:ascii="Arial" w:cs="Arial" w:eastAsia="Arial" w:hAnsi="Arial"/>
          <w:sz w:val="18"/>
          <w:szCs w:val="18"/>
          <w:color w:val="auto"/>
        </w:rPr>
        <w:t>The Company’s financial instruments consist principally of cash, accounts receivable, trade accounts payable and accrued expenses. The Company believes that the recorded values of these financial instruments approximate their current fair values because of their nature and respective maturity dates or durations.</w:t>
      </w:r>
    </w:p>
    <w:p>
      <w:pPr>
        <w:spacing w:after="0" w:line="59" w:lineRule="exact"/>
        <w:rPr>
          <w:rFonts w:ascii="Arial" w:cs="Arial" w:eastAsia="Arial" w:hAnsi="Arial"/>
          <w:sz w:val="16"/>
          <w:szCs w:val="16"/>
          <w:color w:val="auto"/>
        </w:rPr>
      </w:pPr>
    </w:p>
    <w:p>
      <w:pPr>
        <w:ind w:left="1180" w:right="240" w:hanging="441"/>
        <w:spacing w:after="0" w:line="268" w:lineRule="auto"/>
        <w:tabs>
          <w:tab w:leader="none" w:pos="118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Classification of certain items in the consolidated balance sheets and consolidated statements of income</w:t>
      </w:r>
      <w:r>
        <w:rPr>
          <w:rFonts w:ascii="Arial" w:cs="Arial" w:eastAsia="Arial" w:hAnsi="Arial"/>
          <w:sz w:val="18"/>
          <w:szCs w:val="18"/>
          <w:color w:val="auto"/>
        </w:rPr>
        <w:t>—Under MFRS,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certain costs and expenses differ from that required by U.S. GAAP.</w:t>
      </w:r>
    </w:p>
    <w:p>
      <w:pPr>
        <w:spacing w:after="0" w:line="50" w:lineRule="exact"/>
        <w:rPr>
          <w:rFonts w:ascii="Arial" w:cs="Arial" w:eastAsia="Arial" w:hAnsi="Arial"/>
          <w:sz w:val="18"/>
          <w:szCs w:val="18"/>
          <w:color w:val="auto"/>
        </w:rPr>
      </w:pPr>
    </w:p>
    <w:p>
      <w:pPr>
        <w:ind w:left="1760" w:right="580" w:hanging="562"/>
        <w:spacing w:after="0" w:line="268" w:lineRule="auto"/>
        <w:tabs>
          <w:tab w:leader="none" w:pos="176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Other expense of $48,452, $23,324 and $4,694 in 2011, 2010 (unaudited) and 2009 (unaudited), respectively, is considered other operating expense under U.S. GAAP.</w:t>
      </w:r>
    </w:p>
    <w:p>
      <w:pPr>
        <w:spacing w:after="0" w:line="50" w:lineRule="exact"/>
        <w:rPr>
          <w:rFonts w:ascii="Arial" w:cs="Arial" w:eastAsia="Arial" w:hAnsi="Arial"/>
          <w:sz w:val="18"/>
          <w:szCs w:val="18"/>
          <w:color w:val="auto"/>
        </w:rPr>
      </w:pPr>
    </w:p>
    <w:p>
      <w:pPr>
        <w:ind w:left="1760" w:right="20" w:hanging="562"/>
        <w:spacing w:after="0" w:line="312" w:lineRule="auto"/>
        <w:tabs>
          <w:tab w:leader="none" w:pos="1760" w:val="left"/>
        </w:tabs>
        <w:numPr>
          <w:ilvl w:val="2"/>
          <w:numId w:val="158"/>
        </w:numPr>
        <w:rPr>
          <w:rFonts w:ascii="Arial" w:cs="Arial" w:eastAsia="Arial" w:hAnsi="Arial"/>
          <w:sz w:val="15"/>
          <w:szCs w:val="15"/>
          <w:color w:val="auto"/>
        </w:rPr>
      </w:pPr>
      <w:r>
        <w:rPr>
          <w:rFonts w:ascii="Arial" w:cs="Arial" w:eastAsia="Arial" w:hAnsi="Arial"/>
          <w:sz w:val="15"/>
          <w:szCs w:val="15"/>
          <w:color w:val="auto"/>
        </w:rPr>
        <w:t>Normal bank commissions stemming from credit card transactions are included within comprehensive financing cost in the consolidated statements of income under MFRS; these amounts are included within selling, administrative and general expenses under U.S. GAAP. The Company also incurs additional bank commissions on interest-free sales offered to customers, where such sale is ultimately financed by the bank and not the Company. In those cases, the sale price of the product sold is increased. Those additional commissions are included within comprehensive financing cost under MFRS. Under U.S. GAAP, the amounts are a reduction of the additional revenue charged to the customers. The amounts reclassified in 2011, 2010 (unaudited) and 2009 (unaudited) are $89,912, $47,568 and $82,155, respectively.</w:t>
      </w:r>
    </w:p>
    <w:p>
      <w:pPr>
        <w:spacing w:after="0" w:line="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180"/>
          </w:cols>
          <w:pgMar w:left="1440" w:top="280" w:right="279" w:bottom="1440" w:gutter="0" w:footer="0" w:header="0"/>
        </w:sectPr>
      </w:pPr>
    </w:p>
    <w:bookmarkStart w:id="237" w:name="page238"/>
    <w:bookmarkEnd w:id="237"/>
    <w:p>
      <w:pPr>
        <w:ind w:left="1460" w:right="140" w:hanging="441"/>
        <w:spacing w:after="0" w:line="259" w:lineRule="auto"/>
        <w:tabs>
          <w:tab w:leader="none" w:pos="14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items classified within other revenues in the consolidated statements of operations under MFRS are presented within other operating income under U.S. GAAP. Such amounts in 2011, 2010 (unaudited) and 2009 (unaudited) are $9,567, $25,788 and $39,427, respectively.</w:t>
      </w:r>
    </w:p>
    <w:p>
      <w:pPr>
        <w:spacing w:after="0" w:line="59" w:lineRule="exact"/>
        <w:rPr>
          <w:rFonts w:ascii="Arial" w:cs="Arial" w:eastAsia="Arial" w:hAnsi="Arial"/>
          <w:sz w:val="18"/>
          <w:szCs w:val="18"/>
          <w:color w:val="auto"/>
        </w:rPr>
      </w:pPr>
    </w:p>
    <w:p>
      <w:pPr>
        <w:ind w:left="1000" w:hanging="440"/>
        <w:spacing w:after="0" w:line="259"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—Under MFRS, the Company presents a consolidated statement of cash flows similar to that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U.S. GAAP. However, certain classification differences exist, mainly with respect to interest paid. As well, U.S. GAAP requires disclosures of non-cash investing and financing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1"/>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(Unaudited)</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(Unaudited)</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781,764</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  793,698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821,481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287,053</w:t>
            </w:r>
          </w:p>
        </w:tc>
        <w:tc>
          <w:tcPr>
            <w:tcW w:w="5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240,384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211,573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(6,150)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(Gain) loss on sale of fixed assets</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(1,147)</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15,520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(49,343)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(33,808)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(53,752)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periodic cost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10,235</w:t>
            </w:r>
          </w:p>
        </w:tc>
        <w:tc>
          <w:tcPr>
            <w:tcW w:w="5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10,789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(4,999)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(29,850)</w:t>
            </w:r>
          </w:p>
        </w:tc>
      </w:tr>
      <w:tr>
        <w:trPr>
          <w:trHeight w:val="20"/>
        </w:trPr>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1,028,507</w:t>
            </w:r>
          </w:p>
        </w:tc>
        <w:tc>
          <w:tcPr>
            <w:tcW w:w="5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1,019,780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955,257</w:t>
            </w:r>
          </w:p>
        </w:tc>
      </w:tr>
      <w:tr>
        <w:trPr>
          <w:trHeight w:val="110"/>
        </w:trPr>
        <w:tc>
          <w:tcPr>
            <w:tcW w:w="5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Accounts receivable and recorvable taxes</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(45,421)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(93,998)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23,891</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to/from related parties</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(204,088)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(495,636)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121,389</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accounts payable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48,050</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213,819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(73,240)</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68,478</w:t>
            </w:r>
          </w:p>
        </w:tc>
        <w:tc>
          <w:tcPr>
            <w:tcW w:w="5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5,177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56,255</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taxes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(47,023)</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(2,305)</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7"/>
        </w:trPr>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892,694</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609,263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1,037,263</w:t>
            </w:r>
          </w:p>
        </w:tc>
      </w:tr>
      <w:tr>
        <w:trPr>
          <w:trHeight w:val="330"/>
        </w:trPr>
        <w:tc>
          <w:tcPr>
            <w:tcW w:w="5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Purchases of equipment and investments in leasehold improvements</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(529,491)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(321,450)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(424,793)</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Acquisitions of subsidiaries, net of cash acquired</w:t>
            </w:r>
          </w:p>
        </w:tc>
        <w:tc>
          <w:tcPr>
            <w:tcW w:w="3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(178,353)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trade mark</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(10,786)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Proceeds from the sale of equipment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6,321</w:t>
            </w:r>
          </w:p>
        </w:tc>
        <w:tc>
          <w:tcPr>
            <w:tcW w:w="5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5,781</w:t>
            </w:r>
          </w:p>
        </w:tc>
      </w:tr>
      <w:tr>
        <w:trPr>
          <w:trHeight w:val="27"/>
        </w:trPr>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(523,170)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(507,713)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(419,012)</w:t>
            </w:r>
          </w:p>
        </w:tc>
      </w:tr>
      <w:tr>
        <w:trPr>
          <w:trHeight w:val="363"/>
        </w:trPr>
        <w:tc>
          <w:tcPr>
            <w:tcW w:w="5560" w:type="dxa"/>
            <w:vAlign w:val="bottom"/>
          </w:tcPr>
          <w:p>
            <w:pPr>
              <w:ind w:left="47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60"/>
          </w:cols>
          <w:pgMar w:left="1160" w:top="280" w:right="27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9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6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1"/>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Borrowings from related party</w:t>
            </w: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 borrowings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Repayments to related party</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(400,000)</w:t>
            </w:r>
          </w:p>
        </w:tc>
        <w:tc>
          <w:tcPr>
            <w:tcW w:w="2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 of banks borrowings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(100,000)</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(330,000)</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(600,000)</w:t>
            </w:r>
          </w:p>
        </w:tc>
        <w:tc>
          <w:tcPr>
            <w:tcW w:w="2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(400,000)</w:t>
            </w:r>
          </w:p>
        </w:tc>
      </w:tr>
      <w:tr>
        <w:trPr>
          <w:trHeight w:val="27"/>
        </w:trPr>
        <w:tc>
          <w:tcPr>
            <w:tcW w:w="6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(600,000)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Pr>
          <w:p>
            <w:pPr>
              <w:jc w:val="right"/>
              <w:spacing w:after="0"/>
              <w:rPr>
                <w:sz w:val="20"/>
                <w:szCs w:val="20"/>
                <w:color w:val="auto"/>
              </w:rPr>
            </w:pPr>
            <w:r>
              <w:rPr>
                <w:rFonts w:ascii="Arial" w:cs="Arial" w:eastAsia="Arial" w:hAnsi="Arial"/>
                <w:sz w:val="18"/>
                <w:szCs w:val="18"/>
                <w:color w:val="auto"/>
              </w:rPr>
              <w:t>140,215</w:t>
            </w:r>
          </w:p>
        </w:tc>
        <w:tc>
          <w:tcPr>
            <w:tcW w:w="3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(30,711)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(31,925)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increase (decrease) for the year</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(90,261)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70,699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186,326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End of the year</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$ 302,656</w:t>
            </w:r>
          </w:p>
        </w:tc>
        <w:tc>
          <w:tcPr>
            <w:tcW w:w="3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$ 392,917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$ 322,218</w:t>
            </w:r>
          </w:p>
        </w:tc>
      </w:tr>
      <w:tr>
        <w:trPr>
          <w:trHeight w:val="20"/>
        </w:trPr>
        <w:tc>
          <w:tcPr>
            <w:tcW w:w="6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paid during the year for: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80" w:type="dxa"/>
            <w:vAlign w:val="bottom"/>
          </w:tcPr>
          <w:p>
            <w:pPr>
              <w:jc w:val="right"/>
              <w:ind w:right="240"/>
              <w:spacing w:after="0"/>
              <w:rPr>
                <w:sz w:val="20"/>
                <w:szCs w:val="20"/>
                <w:color w:val="auto"/>
              </w:rPr>
            </w:pPr>
            <w:r>
              <w:rPr>
                <w:rFonts w:ascii="Arial" w:cs="Arial" w:eastAsia="Arial" w:hAnsi="Arial"/>
                <w:sz w:val="14"/>
                <w:szCs w:val="14"/>
                <w:b w:val="1"/>
                <w:bCs w:val="1"/>
                <w:color w:val="auto"/>
              </w:rPr>
              <w:t>2009</w:t>
            </w:r>
          </w:p>
        </w:tc>
      </w:tr>
      <w:tr>
        <w:trPr>
          <w:trHeight w:val="175"/>
        </w:trPr>
        <w:tc>
          <w:tcPr>
            <w:tcW w:w="6400" w:type="dxa"/>
            <w:vAlign w:val="bottom"/>
          </w:tcPr>
          <w:p>
            <w:pPr>
              <w:spacing w:after="0"/>
              <w:rPr>
                <w:sz w:val="15"/>
                <w:szCs w:val="15"/>
                <w:color w:val="auto"/>
              </w:rPr>
            </w:pPr>
          </w:p>
        </w:tc>
        <w:tc>
          <w:tcPr>
            <w:tcW w:w="2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9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$ 21,580</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6,684</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17,870</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Income taxes</w:t>
            </w:r>
          </w:p>
        </w:tc>
        <w:tc>
          <w:tcPr>
            <w:tcW w:w="2900" w:type="dxa"/>
            <w:vAlign w:val="bottom"/>
          </w:tcPr>
          <w:p>
            <w:pPr>
              <w:jc w:val="right"/>
              <w:ind w:right="140"/>
              <w:spacing w:after="0"/>
              <w:rPr>
                <w:sz w:val="20"/>
                <w:szCs w:val="20"/>
                <w:color w:val="auto"/>
              </w:rPr>
            </w:pPr>
            <w:r>
              <w:rPr>
                <w:rFonts w:ascii="Arial" w:cs="Arial" w:eastAsia="Arial" w:hAnsi="Arial"/>
                <w:sz w:val="18"/>
                <w:szCs w:val="18"/>
                <w:color w:val="auto"/>
              </w:rPr>
              <w:t>251,339</w:t>
            </w:r>
          </w:p>
        </w:tc>
        <w:tc>
          <w:tcPr>
            <w:tcW w:w="320" w:type="dxa"/>
            <w:vAlign w:val="bottom"/>
          </w:tcPr>
          <w:p>
            <w:pPr>
              <w:spacing w:after="0"/>
              <w:rPr>
                <w:sz w:val="19"/>
                <w:szCs w:val="19"/>
                <w:color w:val="auto"/>
              </w:rPr>
            </w:pPr>
          </w:p>
        </w:tc>
        <w:tc>
          <w:tcPr>
            <w:tcW w:w="800" w:type="dxa"/>
            <w:vAlign w:val="bottom"/>
          </w:tcPr>
          <w:p>
            <w:pPr>
              <w:jc w:val="right"/>
              <w:ind w:right="140"/>
              <w:spacing w:after="0"/>
              <w:rPr>
                <w:sz w:val="20"/>
                <w:szCs w:val="20"/>
                <w:color w:val="auto"/>
              </w:rPr>
            </w:pPr>
            <w:r>
              <w:rPr>
                <w:rFonts w:ascii="Arial" w:cs="Arial" w:eastAsia="Arial" w:hAnsi="Arial"/>
                <w:sz w:val="18"/>
                <w:szCs w:val="18"/>
                <w:color w:val="auto"/>
                <w:w w:val="86"/>
              </w:rPr>
              <w:t>218,166</w:t>
            </w:r>
          </w:p>
        </w:tc>
        <w:tc>
          <w:tcPr>
            <w:tcW w:w="3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w w:val="86"/>
              </w:rPr>
              <w:t>364,242</w:t>
            </w:r>
          </w:p>
        </w:tc>
      </w:tr>
      <w:tr>
        <w:trPr>
          <w:trHeight w:val="370"/>
        </w:trPr>
        <w:tc>
          <w:tcPr>
            <w:tcW w:w="6400" w:type="dxa"/>
            <w:vAlign w:val="bottom"/>
          </w:tcPr>
          <w:p>
            <w:pPr>
              <w:ind w:left="460"/>
              <w:spacing w:after="0"/>
              <w:rPr>
                <w:sz w:val="20"/>
                <w:szCs w:val="20"/>
                <w:color w:val="auto"/>
              </w:rPr>
            </w:pPr>
            <w:r>
              <w:rPr>
                <w:rFonts w:ascii="Arial" w:cs="Arial" w:eastAsia="Arial" w:hAnsi="Arial"/>
                <w:sz w:val="18"/>
                <w:szCs w:val="18"/>
                <w:color w:val="auto"/>
              </w:rPr>
              <w:t>Supplemental disclosure of noncash investing activities:</w:t>
            </w: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0"/>
        </w:trPr>
        <w:tc>
          <w:tcPr>
            <w:tcW w:w="6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6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4"/>
                <w:szCs w:val="24"/>
                <w:color w:val="auto"/>
              </w:rPr>
            </w:pPr>
          </w:p>
        </w:tc>
        <w:tc>
          <w:tcPr>
            <w:tcW w:w="680" w:type="dxa"/>
            <w:vAlign w:val="bottom"/>
          </w:tcPr>
          <w:p>
            <w:pPr>
              <w:jc w:val="right"/>
              <w:ind w:right="240"/>
              <w:spacing w:after="0"/>
              <w:rPr>
                <w:sz w:val="20"/>
                <w:szCs w:val="20"/>
                <w:color w:val="auto"/>
              </w:rPr>
            </w:pPr>
            <w:r>
              <w:rPr>
                <w:rFonts w:ascii="Arial" w:cs="Arial" w:eastAsia="Arial" w:hAnsi="Arial"/>
                <w:sz w:val="14"/>
                <w:szCs w:val="14"/>
                <w:b w:val="1"/>
                <w:bCs w:val="1"/>
                <w:color w:val="auto"/>
              </w:rPr>
              <w:t>2009</w:t>
            </w:r>
          </w:p>
        </w:tc>
      </w:tr>
      <w:tr>
        <w:trPr>
          <w:trHeight w:val="175"/>
        </w:trPr>
        <w:tc>
          <w:tcPr>
            <w:tcW w:w="6400" w:type="dxa"/>
            <w:vAlign w:val="bottom"/>
          </w:tcPr>
          <w:p>
            <w:pPr>
              <w:spacing w:after="0"/>
              <w:rPr>
                <w:sz w:val="15"/>
                <w:szCs w:val="15"/>
                <w:color w:val="auto"/>
              </w:rPr>
            </w:pPr>
          </w:p>
        </w:tc>
        <w:tc>
          <w:tcPr>
            <w:tcW w:w="2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Fixed assets adquired during the year</w:t>
            </w:r>
          </w:p>
        </w:tc>
        <w:tc>
          <w:tcPr>
            <w:tcW w:w="29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$45,152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12,986</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r>
    </w:tbl>
    <w:p>
      <w:pPr>
        <w:spacing w:after="0" w:line="19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Statement of comprehensive income </w:t>
      </w:r>
      <w:r>
        <w:rPr>
          <w:rFonts w:ascii="Arial" w:cs="Arial" w:eastAsia="Arial" w:hAnsi="Arial"/>
          <w:sz w:val="18"/>
          <w:szCs w:val="18"/>
          <w:color w:val="auto"/>
        </w:rPr>
        <w:t>– The Company’s statement of comprehensive income under U.S. GAAP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under U.S. GAAP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$781,764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$ 793,698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$ 821,481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effects of operations of foreign entities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140,215</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(30,711)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Effect of employee retirement obligations (net of tax of $91, $670 and $145 in 2011, 2010 and 2009,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680" w:type="dxa"/>
            <w:vAlign w:val="bottom"/>
          </w:tcPr>
          <w:p>
            <w:pPr>
              <w:jc w:val="right"/>
              <w:spacing w:after="0"/>
              <w:rPr>
                <w:sz w:val="20"/>
                <w:szCs w:val="20"/>
                <w:color w:val="auto"/>
              </w:rPr>
            </w:pPr>
            <w:r>
              <w:rPr>
                <w:rFonts w:ascii="Arial" w:cs="Arial" w:eastAsia="Arial" w:hAnsi="Arial"/>
                <w:sz w:val="18"/>
                <w:szCs w:val="18"/>
                <w:color w:val="auto"/>
              </w:rPr>
              <w:t>2,728</w:t>
            </w:r>
          </w:p>
        </w:tc>
        <w:tc>
          <w:tcPr>
            <w:tcW w:w="3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(3,156)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under U.S. GAAP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924,707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$ 759,831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$ 788,702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jc w:val="right"/>
              <w:ind w:right="2712"/>
              <w:spacing w:after="0"/>
              <w:rPr>
                <w:sz w:val="20"/>
                <w:szCs w:val="20"/>
                <w:color w:val="auto"/>
              </w:rPr>
            </w:pPr>
            <w:r>
              <w:rPr>
                <w:rFonts w:ascii="Arial" w:cs="Arial" w:eastAsia="Arial" w:hAnsi="Arial"/>
                <w:sz w:val="18"/>
                <w:szCs w:val="18"/>
                <w:color w:val="auto"/>
              </w:rPr>
              <w:t>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6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0" w:right="239" w:bottom="1440" w:gutter="0" w:footer="0" w:header="0"/>
        </w:sectPr>
      </w:pPr>
    </w:p>
    <w:bookmarkStart w:id="239" w:name="page240"/>
    <w:bookmarkEnd w:id="239"/>
    <w:p>
      <w:pPr>
        <w:ind w:left="567" w:hanging="567"/>
        <w:spacing w:after="0"/>
        <w:tabs>
          <w:tab w:leader="none" w:pos="567"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New accounting pronouncements under U.S. GAAP </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right="20" w:hanging="440"/>
        <w:spacing w:after="0" w:line="285" w:lineRule="auto"/>
        <w:tabs>
          <w:tab w:leader="none" w:pos="100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In June 2011, the Financial Accounting Standards Board (“FASB”) issued Accounting Standards Update (“ASU”) No. 2011-05, </w:t>
      </w:r>
      <w:r>
        <w:rPr>
          <w:rFonts w:ascii="Arial" w:cs="Arial" w:eastAsia="Arial" w:hAnsi="Arial"/>
          <w:sz w:val="16"/>
          <w:szCs w:val="16"/>
          <w:i w:val="1"/>
          <w:iCs w:val="1"/>
          <w:color w:val="auto"/>
        </w:rPr>
        <w:t xml:space="preserve">Presentation of Comprehensive Income, </w:t>
      </w:r>
      <w:r>
        <w:rPr>
          <w:rFonts w:ascii="Arial" w:cs="Arial" w:eastAsia="Arial" w:hAnsi="Arial"/>
          <w:sz w:val="16"/>
          <w:szCs w:val="16"/>
          <w:color w:val="auto"/>
        </w:rPr>
        <w:t>which updated the guidance in Accounting Standards Codification (“ASC”) Topic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Under the amendments in this ASU, an entity has the option to present the total of comprehensive income,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The amendments in this update do not change the items that must be reported in other comprehensive income or when an item of other comprehensive income must be reclassified to net income. This new guidance was originally proposed to be effective for fiscal years, and interim periods within those years, beginning after December 15, 2011 and applied retrospectively. In October 2011, the FASB proposed to indefinitely defer the specific requirement to present items that are reclassified from other comprehensive income to net income alongside their respective components of net income and other comprehensive income on the face of the respective statements; entities still must comply with the existing requirements during the deferral period. The remaining requirements of ASU 2011-05 are effective for the Company as of the beginning of its first quarter of 2012. The Company is currently evaluating the effects of adopting the guidance in the ASU.</w:t>
      </w:r>
    </w:p>
    <w:p>
      <w:pPr>
        <w:spacing w:after="0" w:line="45" w:lineRule="exact"/>
        <w:rPr>
          <w:rFonts w:ascii="Arial" w:cs="Arial" w:eastAsia="Arial" w:hAnsi="Arial"/>
          <w:sz w:val="16"/>
          <w:szCs w:val="16"/>
          <w:color w:val="auto"/>
        </w:rPr>
      </w:pPr>
    </w:p>
    <w:p>
      <w:pPr>
        <w:ind w:left="1007" w:hanging="440"/>
        <w:spacing w:after="0" w:line="286" w:lineRule="auto"/>
        <w:tabs>
          <w:tab w:leader="none" w:pos="100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In September 2011, the FASB issued ASU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which amends the guidance in ASC 350-20. The amendments in ASU 2011-08 provide entities with the option of performing a qualitative assessment before performing the first step of the two-step impairment test. If entities determine, on the basis of qualitative factors, it is not more likely than not that the fair value of the reporting unit is less than the carrying amount, then performing the two-step impairment test would be unnecessary. However, if an entity concludes otherwise, then it is required to perform the first step of the two-step impairment test by calculating the fair value of the reporting unit and comparing the fair value with the carrying amount of the reporting unit. If the carrying amount of a reporting unit exceeds its fair value, then the entity is required to perform the second step of the goodwill impairment test to measure the amount of the impairment loss, if any. ASU 2011-08 also provides entities with the option to bypass the qualitative assessment for any reporting unit in any period and proceed directly to the first step of the two-step impairment test. ASU 2011-08 is effective for interim and annual periods beginning after December 15, 2011 but early adoption is permitted. The Company is currently evaluating the effects of adopting the guidance in the ASU.</w:t>
      </w:r>
    </w:p>
    <w:p>
      <w:pPr>
        <w:spacing w:after="0" w:line="46" w:lineRule="exact"/>
        <w:rPr>
          <w:rFonts w:ascii="Arial" w:cs="Arial" w:eastAsia="Arial" w:hAnsi="Arial"/>
          <w:sz w:val="16"/>
          <w:szCs w:val="16"/>
          <w:color w:val="auto"/>
        </w:rPr>
      </w:pPr>
    </w:p>
    <w:p>
      <w:pPr>
        <w:ind w:left="1007" w:right="80" w:hanging="440"/>
        <w:spacing w:after="0" w:line="286" w:lineRule="auto"/>
        <w:tabs>
          <w:tab w:leader="none" w:pos="100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Amendments to Achieve Common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and Disclosure Requirements in U.S. GAAP and IFRSs, </w:t>
      </w:r>
      <w:r>
        <w:rPr>
          <w:rFonts w:ascii="Arial" w:cs="Arial" w:eastAsia="Arial" w:hAnsi="Arial"/>
          <w:sz w:val="16"/>
          <w:szCs w:val="16"/>
          <w:color w:val="auto"/>
        </w:rPr>
        <w:t>which updated the guidance in ASC Topic 820,</w:t>
      </w:r>
      <w:r>
        <w:rPr>
          <w:rFonts w:ascii="Arial" w:cs="Arial" w:eastAsia="Arial" w:hAnsi="Arial"/>
          <w:sz w:val="16"/>
          <w:szCs w:val="16"/>
          <w:i w:val="1"/>
          <w:iCs w:val="1"/>
          <w:color w:val="auto"/>
        </w:rPr>
        <w:t xml:space="preserve"> Fair Value Measurement. </w:t>
      </w:r>
      <w:r>
        <w:rPr>
          <w:rFonts w:ascii="Arial" w:cs="Arial" w:eastAsia="Arial" w:hAnsi="Arial"/>
          <w:sz w:val="16"/>
          <w:szCs w:val="16"/>
          <w:color w:val="auto"/>
        </w:rPr>
        <w:t>ASU 2011-04 clarifies the application of existing fair value measurement requirements including (1) the application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and best use and valuation premise concepts, (2) measuring the fair value of an instrument classified in a reporting entity’s shareholders’ equity, and (3) quantitative information required for fair value measurements categorized within Level 3. ASU 2011-04 also provides guidance on measuring the fair value of financial instruments managed within a portfolio, and application of premiums and discounts in a fair value measurement. In addition, ASU 2011-04 requires additional disclosure for Level 3 measurements regarding the sensitivity of fair value to changes in unobservable inputs and any interrelationships between those inputs. The amendments in this guidance are to be applied prospectively, and are effective for interim and annual periods beginning after December 15, 2011, and early application is not permitted. The Company is currently evaluating the effects of adopting the guidance in the ASU.</w:t>
      </w:r>
    </w:p>
    <w:p>
      <w:pPr>
        <w:spacing w:after="0" w:line="127" w:lineRule="exact"/>
        <w:rPr>
          <w:sz w:val="20"/>
          <w:szCs w:val="20"/>
          <w:color w:val="auto"/>
        </w:rPr>
      </w:pPr>
    </w:p>
    <w:p>
      <w:pPr>
        <w:jc w:val="center"/>
        <w:ind w:right="893"/>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893"/>
        <w:spacing w:after="0"/>
        <w:rPr>
          <w:sz w:val="20"/>
          <w:szCs w:val="20"/>
          <w:color w:val="auto"/>
        </w:rPr>
      </w:pPr>
      <w:r>
        <w:rPr>
          <w:rFonts w:ascii="Arial" w:cs="Arial" w:eastAsia="Arial" w:hAnsi="Arial"/>
          <w:sz w:val="18"/>
          <w:szCs w:val="18"/>
          <w:color w:val="auto"/>
        </w:rPr>
        <w:t>32</w:t>
      </w:r>
    </w:p>
    <w:sectPr>
      <w:pgSz w:w="11900" w:h="16838" w:orient="portrait"/>
      <w:cols w:equalWidth="0" w:num="1">
        <w:col w:w="10507"/>
      </w:cols>
      <w:pgMar w:left="1153"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decimal"/>
      <w:start w:val="1"/>
    </w:lvl>
  </w:abstractNum>
  <w:abstractNum w:abstractNumId="3">
    <w:nsid w:val="1A27709E"/>
    <w:multiLevelType w:val="hybridMultilevel"/>
    <w:lvl w:ilvl="0">
      <w:lvlJc w:val="left"/>
      <w:lvlText w:val="(%1)"/>
      <w:numFmt w:val="decimal"/>
      <w:start w:val="3"/>
    </w:lvl>
  </w:abstractNum>
  <w:abstractNum w:abstractNumId="4">
    <w:nsid w:val="71EA1109"/>
    <w:multiLevelType w:val="hybridMultilevel"/>
    <w:lvl w:ilvl="0">
      <w:lvlJc w:val="left"/>
      <w:lvlText w:val="(%1)"/>
      <w:numFmt w:val="decimal"/>
      <w:start w:val="1"/>
    </w:lvl>
  </w:abstractNum>
  <w:abstractNum w:abstractNumId="5">
    <w:nsid w:val="100F59DC"/>
    <w:multiLevelType w:val="hybridMultilevel"/>
    <w:lvl w:ilvl="0">
      <w:lvlJc w:val="left"/>
      <w:lvlText w:val="(%1)"/>
      <w:numFmt w:val="decimal"/>
      <w:start w:val="6"/>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1)"/>
      <w:numFmt w:val="decimal"/>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lvl w:ilvl="1">
      <w:lvlJc w:val="left"/>
      <w:lvlText w:val="•"/>
      <w:numFmt w:val="bullet"/>
      <w:start w:val="1"/>
    </w:lvl>
  </w:abstractNum>
  <w:abstractNum w:abstractNumId="18">
    <w:nsid w:val="2DF6D648"/>
    <w:multiLevelType w:val="hybridMultilevel"/>
    <w:lvl w:ilvl="0">
      <w:lvlJc w:val="left"/>
      <w:lvlText w:val="•"/>
      <w:numFmt w:val="bullet"/>
      <w:start w:val="1"/>
    </w:lvl>
    <w:lvl w:ilvl="1">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1)"/>
      <w:numFmt w:val="decimal"/>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lvl w:ilvl="1">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decimal"/>
      <w:start w:val="3"/>
    </w:lvl>
  </w:abstractNum>
  <w:abstractNum w:abstractNumId="31">
    <w:nsid w:val="50801EE1"/>
    <w:multiLevelType w:val="hybridMultilevel"/>
    <w:lvl w:ilvl="0">
      <w:lvlJc w:val="left"/>
      <w:lvlText w:val="(%1)"/>
      <w:numFmt w:val="decimal"/>
      <w:start w:val="10"/>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6"/>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4"/>
    </w:lvl>
  </w:abstractNum>
  <w:abstractNum w:abstractNumId="36">
    <w:nsid w:val="6FC75AF8"/>
    <w:multiLevelType w:val="hybridMultilevel"/>
    <w:lvl w:ilvl="0">
      <w:lvlJc w:val="left"/>
      <w:lvlText w:val="(%1)"/>
      <w:numFmt w:val="decimal"/>
      <w:start w:val="1"/>
    </w:lvl>
  </w:abstractNum>
  <w:abstractNum w:abstractNumId="37">
    <w:nsid w:val="6A5F7029"/>
    <w:multiLevelType w:val="hybridMultilevel"/>
    <w:lvl w:ilvl="0">
      <w:lvlJc w:val="left"/>
      <w:lvlText w:val="(%1)"/>
      <w:numFmt w:val="decimal"/>
      <w:start w:val="6"/>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1)"/>
      <w:numFmt w:val="decimal"/>
      <w:start w:val="2"/>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1"/>
      <w:numFmt w:val="decimal"/>
      <w:start w:val="1"/>
    </w:lvl>
    <w:lvl w:ilvl="1">
      <w:lvlJc w:val="left"/>
      <w:lvlText w:val="(%2)"/>
      <w:numFmt w:val="lowerRoman"/>
      <w:start w:val="2"/>
    </w:lvl>
  </w:abstractNum>
  <w:abstractNum w:abstractNumId="44">
    <w:nsid w:val="14FCE74E"/>
    <w:multiLevelType w:val="hybridMultilevel"/>
    <w:lvl w:ilvl="0">
      <w:lvlJc w:val="left"/>
      <w:lvlText w:val="(%1)"/>
      <w:numFmt w:val="decimal"/>
      <w:start w:val="1"/>
    </w:lvl>
    <w:lvl w:ilvl="1">
      <w:lvlJc w:val="left"/>
      <w:lvlText w:val="%2"/>
      <w:numFmt w:val="lowerRoman"/>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lowerRoman"/>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lvl w:ilvl="1">
      <w:lvlJc w:val="left"/>
      <w:lvlText w:val="•"/>
      <w:numFmt w:val="bullet"/>
      <w:start w:val="1"/>
    </w:lvl>
  </w:abstractNum>
  <w:abstractNum w:abstractNumId="61">
    <w:nsid w:val="7C58FD05"/>
    <w:multiLevelType w:val="hybridMultilevel"/>
    <w:lvl w:ilvl="0">
      <w:lvlJc w:val="left"/>
      <w:lvlText w:val="%1."/>
      <w:numFmt w:val="decimal"/>
      <w:start w:val="1"/>
    </w:lvl>
  </w:abstractNum>
  <w:abstractNum w:abstractNumId="62">
    <w:nsid w:val="23D86AAC"/>
    <w:multiLevelType w:val="hybridMultilevel"/>
    <w:lvl w:ilvl="0">
      <w:lvlJc w:val="left"/>
      <w:lvlText w:val="%1."/>
      <w:numFmt w:val="decimal"/>
      <w:start w:val="2"/>
    </w:lvl>
  </w:abstractNum>
  <w:abstractNum w:abstractNumId="63">
    <w:nsid w:val="45E6D486"/>
    <w:multiLevelType w:val="hybridMultilevel"/>
    <w:lvl w:ilvl="0">
      <w:lvlJc w:val="left"/>
      <w:lvlText w:val="%1."/>
      <w:numFmt w:val="decimal"/>
      <w:start w:val="3"/>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5"/>
    </w:lvl>
  </w:abstractNum>
  <w:abstractNum w:abstractNumId="68">
    <w:nsid w:val="78DF6A55"/>
    <w:multiLevelType w:val="hybridMultilevel"/>
    <w:lvl w:ilvl="0">
      <w:lvlJc w:val="left"/>
      <w:lvlText w:val="(%1)"/>
      <w:numFmt w:val="decimal"/>
      <w:start w:val="1"/>
    </w:lvl>
    <w:lvl w:ilvl="1">
      <w:lvlJc w:val="left"/>
      <w:lvlText w:val="(%2)"/>
      <w:numFmt w:val="lowerRoman"/>
      <w:start w:val="1"/>
    </w:lvl>
  </w:abstractNum>
  <w:abstractNum w:abstractNumId="69">
    <w:nsid w:val="39B7AAA2"/>
    <w:multiLevelType w:val="hybridMultilevel"/>
    <w:lvl w:ilvl="0">
      <w:lvlJc w:val="left"/>
      <w:lvlText w:val="(%1)"/>
      <w:numFmt w:val="decimal"/>
      <w:start w:val="6"/>
    </w:lvl>
  </w:abstractNum>
  <w:abstractNum w:abstractNumId="70">
    <w:nsid w:val="2B0D8DBE"/>
    <w:multiLevelType w:val="hybridMultilevel"/>
    <w:lvl w:ilvl="0">
      <w:lvlJc w:val="left"/>
      <w:lvlText w:val="(%1)"/>
      <w:numFmt w:val="decimal"/>
      <w:start w:val="1"/>
    </w:lvl>
    <w:lvl w:ilvl="1">
      <w:lvlJc w:val="left"/>
      <w:lvlText w:val="(%2)"/>
      <w:numFmt w:val="lowerRoman"/>
      <w:start w:val="3"/>
    </w:lvl>
  </w:abstractNum>
  <w:abstractNum w:abstractNumId="71">
    <w:nsid w:val="6C80EC70"/>
    <w:multiLevelType w:val="hybridMultilevel"/>
    <w:lvl w:ilvl="0">
      <w:lvlJc w:val="left"/>
      <w:lvlText w:val="(%1)"/>
      <w:numFmt w:val="decimal"/>
      <w:start w:val="1"/>
    </w:lvl>
  </w:abstractNum>
  <w:abstractNum w:abstractNumId="72">
    <w:nsid w:val="379E21B5"/>
    <w:multiLevelType w:val="hybridMultilevel"/>
    <w:lvl w:ilvl="0">
      <w:lvlJc w:val="left"/>
      <w:lvlText w:val="(%1)"/>
      <w:numFmt w:val="decimal"/>
      <w:start w:val="1"/>
    </w:lvl>
    <w:lvl w:ilvl="1">
      <w:lvlJc w:val="left"/>
      <w:lvlText w:val="(%2)"/>
      <w:numFmt w:val="lowerRoman"/>
      <w:start w:val="3"/>
    </w:lvl>
  </w:abstractNum>
  <w:abstractNum w:abstractNumId="73">
    <w:nsid w:val="69E373"/>
    <w:multiLevelType w:val="hybridMultilevel"/>
    <w:lvl w:ilvl="0">
      <w:lvlJc w:val="left"/>
      <w:lvlText w:val="(%1)"/>
      <w:numFmt w:val="decimal"/>
      <w:start w:val="6"/>
    </w:lvl>
  </w:abstractNum>
  <w:abstractNum w:abstractNumId="74">
    <w:nsid w:val="2C27173B"/>
    <w:multiLevelType w:val="hybridMultilevel"/>
    <w:lvl w:ilvl="0">
      <w:lvlJc w:val="left"/>
      <w:lvlText w:val="(%1)"/>
      <w:numFmt w:val="decimal"/>
      <w:start w:val="1"/>
    </w:lvl>
  </w:abstractNum>
  <w:abstractNum w:abstractNumId="75">
    <w:nsid w:val="4C9B0904"/>
    <w:multiLevelType w:val="hybridMultilevel"/>
    <w:lvl w:ilvl="0">
      <w:lvlJc w:val="left"/>
      <w:lvlText w:val="(%1)"/>
      <w:numFmt w:val="decimal"/>
      <w:start w:val="18"/>
    </w:lvl>
  </w:abstractNum>
  <w:abstractNum w:abstractNumId="76">
    <w:nsid w:val="6AA7B75C"/>
    <w:multiLevelType w:val="hybridMultilevel"/>
    <w:lvl w:ilvl="0">
      <w:lvlJc w:val="left"/>
      <w:lvlText w:val="(%1)"/>
      <w:numFmt w:val="lowerRoman"/>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1."/>
      <w:numFmt w:val="decimal"/>
      <w:start w:val="1"/>
    </w:lvl>
  </w:abstractNum>
  <w:abstractNum w:abstractNumId="79">
    <w:nsid w:val="3DD15094"/>
    <w:multiLevelType w:val="hybridMultilevel"/>
    <w:lvl w:ilvl="0">
      <w:lvlJc w:val="left"/>
      <w:lvlText w:val="%1."/>
      <w:numFmt w:val="decimal"/>
      <w:start w:val="1"/>
    </w:lvl>
  </w:abstractNum>
  <w:abstractNum w:abstractNumId="80">
    <w:nsid w:val="3DB012B3"/>
    <w:multiLevelType w:val="hybridMultilevel"/>
    <w:lvl w:ilvl="0">
      <w:lvlJc w:val="left"/>
      <w:lvlText w:val="(%1)"/>
      <w:numFmt w:val="lowerRoman"/>
      <w:start w:val="2"/>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1)"/>
      <w:numFmt w:val="lowerRoman"/>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1)"/>
      <w:numFmt w:val="decimal"/>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1)"/>
      <w:numFmt w:val="decimal"/>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1)"/>
      <w:numFmt w:val="decimal"/>
      <w:start w:val="1"/>
    </w:lvl>
  </w:abstractNum>
  <w:abstractNum w:abstractNumId="94">
    <w:nsid w:val="5D888A08"/>
    <w:multiLevelType w:val="hybridMultilevel"/>
    <w:lvl w:ilvl="0">
      <w:lvlJc w:val="left"/>
      <w:lvlText w:val="(%1)"/>
      <w:numFmt w:val="decimal"/>
      <w:start w:val="22"/>
    </w:lvl>
  </w:abstractNum>
  <w:abstractNum w:abstractNumId="95">
    <w:nsid w:val="2A082C70"/>
    <w:multiLevelType w:val="hybridMultilevel"/>
    <w:lvl w:ilvl="0">
      <w:lvlJc w:val="left"/>
      <w:lvlText w:val="%1."/>
      <w:numFmt w:val="decimal"/>
      <w:start w:val="1"/>
    </w:lvl>
  </w:abstractNum>
  <w:abstractNum w:abstractNumId="96">
    <w:nsid w:val="5EC6AFD4"/>
    <w:multiLevelType w:val="hybridMultilevel"/>
    <w:lvl w:ilvl="0">
      <w:lvlJc w:val="left"/>
      <w:lvlText w:val="%1"/>
      <w:numFmt w:val="decimal"/>
      <w:start w:val="1"/>
    </w:lvl>
    <w:lvl w:ilvl="1">
      <w:lvlJc w:val="left"/>
      <w:lvlText w:val="(%2)"/>
      <w:numFmt w:val="lowerLetter"/>
      <w:start w:val="2"/>
    </w:lvl>
  </w:abstractNum>
  <w:abstractNum w:abstractNumId="97">
    <w:nsid w:val="19E21BB2"/>
    <w:multiLevelType w:val="hybridMultilevel"/>
    <w:lvl w:ilvl="0">
      <w:lvlJc w:val="left"/>
      <w:lvlText w:val="%1."/>
      <w:numFmt w:val="decimal"/>
      <w:start w:val="3"/>
    </w:lvl>
    <w:lvl w:ilvl="1">
      <w:lvlJc w:val="left"/>
      <w:lvlText w:val="%2"/>
      <w:numFmt w:val="lowerLetter"/>
      <w:start w:val="1"/>
    </w:lvl>
  </w:abstractNum>
  <w:abstractNum w:abstractNumId="98">
    <w:nsid w:val="75E0858A"/>
    <w:multiLevelType w:val="hybridMultilevel"/>
    <w:lvl w:ilvl="0">
      <w:lvlJc w:val="left"/>
      <w:lvlText w:val="%1."/>
      <w:numFmt w:val="decimal"/>
      <w:start w:val="4"/>
    </w:lvl>
  </w:abstractNum>
  <w:abstractNum w:abstractNumId="99">
    <w:nsid w:val="57A61A29"/>
    <w:multiLevelType w:val="hybridMultilevel"/>
    <w:lvl w:ilvl="0">
      <w:lvlJc w:val="left"/>
      <w:lvlText w:val="%1."/>
      <w:numFmt w:val="decimal"/>
      <w:start w:val="7"/>
    </w:lvl>
  </w:abstractNum>
  <w:abstractNum w:abstractNumId="100">
    <w:nsid w:val="5399C654"/>
    <w:multiLevelType w:val="hybridMultilevel"/>
    <w:lvl w:ilvl="0">
      <w:lvlJc w:val="left"/>
      <w:lvlText w:val="%1."/>
      <w:numFmt w:val="decimal"/>
      <w:start w:val="8"/>
    </w:lvl>
  </w:abstractNum>
  <w:abstractNum w:abstractNumId="101">
    <w:nsid w:val="20EE1348"/>
    <w:multiLevelType w:val="hybridMultilevel"/>
    <w:lvl w:ilvl="0">
      <w:lvlJc w:val="left"/>
      <w:lvlText w:val="%1."/>
      <w:numFmt w:val="decimal"/>
      <w:start w:val="9"/>
    </w:lvl>
  </w:abstractNum>
  <w:abstractNum w:abstractNumId="102">
    <w:nsid w:val="4427069A"/>
    <w:multiLevelType w:val="hybridMultilevel"/>
    <w:lvl w:ilvl="0">
      <w:lvlJc w:val="left"/>
      <w:lvlText w:val="%1:"/>
      <w:numFmt w:val="lowerLetter"/>
      <w:start w:val="29"/>
    </w:lvl>
  </w:abstractNum>
  <w:abstractNum w:abstractNumId="103">
    <w:nsid w:val="B37E80A"/>
    <w:multiLevelType w:val="hybridMultilevel"/>
    <w:lvl w:ilvl="0">
      <w:lvlJc w:val="left"/>
      <w:lvlText w:val="%1."/>
      <w:numFmt w:val="decimal"/>
      <w:start w:val="1"/>
    </w:lvl>
  </w:abstractNum>
  <w:abstractNum w:abstractNumId="104">
    <w:nsid w:val="2157F6BC"/>
    <w:multiLevelType w:val="hybridMultilevel"/>
    <w:lvl w:ilvl="0">
      <w:lvlJc w:val="left"/>
      <w:lvlText w:val="%1."/>
      <w:numFmt w:val="decimal"/>
      <w:start w:val="1"/>
    </w:lvl>
  </w:abstractNum>
  <w:abstractNum w:abstractNumId="105">
    <w:nsid w:val="704E1DD5"/>
    <w:multiLevelType w:val="hybridMultilevel"/>
    <w:lvl w:ilvl="0">
      <w:lvlJc w:val="left"/>
      <w:lvlText w:val="%1."/>
      <w:numFmt w:val="decimal"/>
      <w:start w:val="2"/>
    </w:lvl>
  </w:abstractNum>
  <w:abstractNum w:abstractNumId="106">
    <w:nsid w:val="57D2F10E"/>
    <w:multiLevelType w:val="hybridMultilevel"/>
    <w:lvl w:ilvl="0">
      <w:lvlJc w:val="left"/>
      <w:lvlText w:val="%1."/>
      <w:numFmt w:val="decimal"/>
      <w:start w:val="3"/>
    </w:lvl>
  </w:abstractNum>
  <w:abstractNum w:abstractNumId="107">
    <w:nsid w:val="BFFAE18"/>
    <w:multiLevelType w:val="hybridMultilevel"/>
    <w:lvl w:ilvl="0">
      <w:lvlJc w:val="left"/>
      <w:lvlText w:val="%1."/>
      <w:numFmt w:val="decimal"/>
      <w:start w:val="6"/>
    </w:lvl>
  </w:abstractNum>
  <w:abstractNum w:abstractNumId="108">
    <w:nsid w:val="E3E47A8"/>
    <w:multiLevelType w:val="hybridMultilevel"/>
    <w:lvl w:ilvl="0">
      <w:lvlJc w:val="left"/>
      <w:lvlText w:val="%1."/>
      <w:numFmt w:val="decimal"/>
      <w:start w:val="7"/>
    </w:lvl>
  </w:abstractNum>
  <w:abstractNum w:abstractNumId="109">
    <w:nsid w:val="2E48F044"/>
    <w:multiLevelType w:val="hybridMultilevel"/>
    <w:lvl w:ilvl="0">
      <w:lvlJc w:val="left"/>
      <w:lvlText w:val="%1."/>
      <w:numFmt w:val="decimal"/>
      <w:start w:val="8"/>
    </w:lvl>
  </w:abstractNum>
  <w:abstractNum w:abstractNumId="110">
    <w:nsid w:val="49D0FEAC"/>
    <w:multiLevelType w:val="hybridMultilevel"/>
    <w:lvl w:ilvl="0">
      <w:lvlJc w:val="left"/>
      <w:lvlText w:val="%1."/>
      <w:numFmt w:val="decimal"/>
      <w:start w:val="1"/>
    </w:lvl>
  </w:abstractNum>
  <w:abstractNum w:abstractNumId="111">
    <w:nsid w:val="4BEE5A5B"/>
    <w:multiLevelType w:val="hybridMultilevel"/>
    <w:lvl w:ilvl="0">
      <w:lvlJc w:val="left"/>
      <w:lvlText w:val="(%1)"/>
      <w:numFmt w:val="lowerRoman"/>
      <w:start w:val="1"/>
    </w:lvl>
  </w:abstractNum>
  <w:abstractNum w:abstractNumId="112">
    <w:nsid w:val="5551B9F3"/>
    <w:multiLevelType w:val="hybridMultilevel"/>
    <w:lvl w:ilvl="0">
      <w:lvlJc w:val="left"/>
      <w:lvlText w:val="%1."/>
      <w:numFmt w:val="decimal"/>
      <w:start w:val="1"/>
    </w:lvl>
  </w:abstractNum>
  <w:abstractNum w:abstractNumId="113">
    <w:nsid w:val="24F6AB8E"/>
    <w:multiLevelType w:val="hybridMultilevel"/>
    <w:lvl w:ilvl="0">
      <w:lvlJc w:val="left"/>
      <w:lvlText w:val="%1."/>
      <w:numFmt w:val="decimal"/>
      <w:start w:val="2"/>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decimal"/>
      <w:start w:val="3"/>
    </w:lvl>
  </w:abstractNum>
  <w:abstractNum w:abstractNumId="116">
    <w:nsid w:val="2A31B62D"/>
    <w:multiLevelType w:val="hybridMultilevel"/>
    <w:lvl w:ilvl="0">
      <w:lvlJc w:val="left"/>
      <w:lvlText w:val="%1."/>
      <w:numFmt w:val="decimal"/>
      <w:start w:val="4"/>
    </w:lvl>
  </w:abstractNum>
  <w:abstractNum w:abstractNumId="117">
    <w:nsid w:val="1849C29B"/>
    <w:multiLevelType w:val="hybridMultilevel"/>
    <w:lvl w:ilvl="0">
      <w:lvlJc w:val="left"/>
      <w:lvlText w:val="%1."/>
      <w:numFmt w:val="upperLetter"/>
      <w:start w:val="35"/>
    </w:lvl>
    <w:lvl w:ilvl="1">
      <w:lvlJc w:val="left"/>
      <w:lvlText w:val="(%2)"/>
      <w:numFmt w:val="lowerRoman"/>
      <w:start w:val="1"/>
    </w:lvl>
    <w:lvl w:ilvl="2">
      <w:lvlJc w:val="left"/>
      <w:lvlText w:val="(%3)"/>
      <w:numFmt w:val="lowerRoman"/>
      <w:start w:val="2"/>
    </w:lvl>
  </w:abstractNum>
  <w:abstractNum w:abstractNumId="118">
    <w:nsid w:val="7DFF9D09"/>
    <w:multiLevelType w:val="hybridMultilevel"/>
    <w:lvl w:ilvl="0">
      <w:lvlJc w:val="left"/>
      <w:lvlText w:val="%1"/>
      <w:numFmt w:val="lowerRoman"/>
      <w:start w:val="1"/>
    </w:lvl>
    <w:lvl w:ilvl="1">
      <w:lvlJc w:val="left"/>
      <w:lvlText w:val="%2."/>
      <w:numFmt w:val="upperLetter"/>
      <w:start w:val="61"/>
    </w:lvl>
  </w:abstractNum>
  <w:abstractNum w:abstractNumId="119">
    <w:nsid w:val="754342"/>
    <w:multiLevelType w:val="hybridMultilevel"/>
    <w:lvl w:ilvl="0">
      <w:lvlJc w:val="left"/>
      <w:lvlText w:val="(%1)"/>
      <w:numFmt w:val="lowerRoman"/>
      <w:start w:val="1"/>
    </w:lvl>
    <w:lvl w:ilvl="1">
      <w:lvlJc w:val="left"/>
      <w:lvlText w:val="%2"/>
      <w:numFmt w:val="upperLetter"/>
      <w:start w:val="1"/>
    </w:lvl>
  </w:abstractNum>
  <w:abstractNum w:abstractNumId="120">
    <w:nsid w:val="69E7F3E5"/>
    <w:multiLevelType w:val="hybridMultilevel"/>
    <w:lvl w:ilvl="0">
      <w:lvlJc w:val="left"/>
      <w:lvlText w:val="(%1)"/>
      <w:numFmt w:val="lowerLetter"/>
      <w:start w:val="2"/>
    </w:lvl>
  </w:abstractNum>
  <w:abstractNum w:abstractNumId="121">
    <w:nsid w:val="2A6DE806"/>
    <w:multiLevelType w:val="hybridMultilevel"/>
    <w:lvl w:ilvl="0">
      <w:lvlJc w:val="left"/>
      <w:lvlText w:val="(%1)"/>
      <w:numFmt w:val="lowerRoman"/>
      <w:start w:val="1"/>
    </w:lvl>
    <w:lvl w:ilvl="1">
      <w:lvlJc w:val="left"/>
      <w:lvlText w:val="(%2)"/>
      <w:numFmt w:val="lowerLetter"/>
      <w:start w:val="4"/>
    </w:lvl>
  </w:abstractNum>
  <w:abstractNum w:abstractNumId="122">
    <w:nsid w:val="1816F8C4"/>
    <w:multiLevelType w:val="hybridMultilevel"/>
    <w:lvl w:ilvl="0">
      <w:lvlJc w:val="left"/>
      <w:lvlText w:val="(%1)"/>
      <w:numFmt w:val="lowerRoman"/>
      <w:start w:val="2"/>
    </w:lvl>
  </w:abstractNum>
  <w:abstractNum w:abstractNumId="123">
    <w:nsid w:val="37DF2233"/>
    <w:multiLevelType w:val="hybridMultilevel"/>
    <w:lvl w:ilvl="0">
      <w:lvlJc w:val="left"/>
      <w:lvlText w:val="%1."/>
      <w:numFmt w:val="decimal"/>
      <w:start w:val="1"/>
    </w:lvl>
    <w:lvl w:ilvl="1">
      <w:lvlJc w:val="left"/>
      <w:lvlText w:val="%2)"/>
      <w:numFmt w:val="lowerLetter"/>
      <w:start w:val="1"/>
    </w:lvl>
  </w:abstractNum>
  <w:abstractNum w:abstractNumId="124">
    <w:nsid w:val="7AB49DAF"/>
    <w:multiLevelType w:val="hybridMultilevel"/>
    <w:lvl w:ilvl="0">
      <w:lvlJc w:val="left"/>
      <w:lvlText w:val="%1."/>
      <w:numFmt w:val="decimal"/>
      <w:start w:val="1"/>
    </w:lvl>
    <w:lvl w:ilvl="1">
      <w:lvlJc w:val="left"/>
      <w:lvlText w:val="%2)"/>
      <w:numFmt w:val="lowerLetter"/>
      <w:start w:val="1"/>
    </w:lvl>
  </w:abstractNum>
  <w:abstractNum w:abstractNumId="125">
    <w:nsid w:val="759F82CD"/>
    <w:multiLevelType w:val="hybridMultilevel"/>
    <w:lvl w:ilvl="0">
      <w:lvlJc w:val="left"/>
      <w:lvlText w:val="(%1)"/>
      <w:numFmt w:val="decimal"/>
      <w:start w:val="1"/>
    </w:lvl>
  </w:abstractNum>
  <w:abstractNum w:abstractNumId="126">
    <w:nsid w:val="61E74EA3"/>
    <w:multiLevelType w:val="hybridMultilevel"/>
    <w:lvl w:ilvl="0">
      <w:lvlJc w:val="left"/>
      <w:lvlText w:val="%1."/>
      <w:numFmt w:val="decimal"/>
      <w:start w:val="1"/>
    </w:lvl>
    <w:lvl w:ilvl="1">
      <w:lvlJc w:val="left"/>
      <w:lvlText w:val="%2."/>
      <w:numFmt w:val="lowerLetter"/>
      <w:start w:val="1"/>
    </w:lvl>
  </w:abstractNum>
  <w:abstractNum w:abstractNumId="127">
    <w:nsid w:val="597B4D84"/>
    <w:multiLevelType w:val="hybridMultilevel"/>
    <w:lvl w:ilvl="0">
      <w:lvlJc w:val="left"/>
      <w:lvlText w:val="%1."/>
      <w:numFmt w:val="lowerLetter"/>
      <w:start w:val="2"/>
    </w:lvl>
  </w:abstractNum>
  <w:abstractNum w:abstractNumId="128">
    <w:nsid w:val="F819E7F"/>
    <w:multiLevelType w:val="hybridMultilevel"/>
    <w:lvl w:ilvl="0">
      <w:lvlJc w:val="left"/>
      <w:lvlText w:val="%1."/>
      <w:numFmt w:val="lowerLetter"/>
      <w:start w:val="5"/>
    </w:lvl>
  </w:abstractNum>
  <w:abstractNum w:abstractNumId="129">
    <w:nsid w:val="57C7D42D"/>
    <w:multiLevelType w:val="hybridMultilevel"/>
    <w:lvl w:ilvl="0">
      <w:lvlJc w:val="left"/>
      <w:lvlText w:val="%1"/>
      <w:numFmt w:val="decimal"/>
      <w:start w:val="1"/>
    </w:lvl>
    <w:lvl w:ilvl="1">
      <w:lvlJc w:val="left"/>
      <w:lvlText w:val="%2."/>
      <w:numFmt w:val="lowerLetter"/>
      <w:start w:val="6"/>
    </w:lvl>
  </w:abstractNum>
  <w:abstractNum w:abstractNumId="130">
    <w:nsid w:val="312167AD"/>
    <w:multiLevelType w:val="hybridMultilevel"/>
    <w:lvl w:ilvl="0">
      <w:lvlJc w:val="left"/>
      <w:lvlText w:val="%1."/>
      <w:numFmt w:val="decimal"/>
      <w:start w:val="3"/>
    </w:lvl>
    <w:lvl w:ilvl="1">
      <w:lvlJc w:val="left"/>
      <w:lvlText w:val="%2."/>
      <w:numFmt w:val="lowerLetter"/>
      <w:start w:val="1"/>
    </w:lvl>
  </w:abstractNum>
  <w:abstractNum w:abstractNumId="131">
    <w:nsid w:val="631B64D4"/>
    <w:multiLevelType w:val="hybridMultilevel"/>
    <w:lvl w:ilvl="0">
      <w:lvlJc w:val="left"/>
      <w:lvlText w:val="%1."/>
      <w:numFmt w:val="lowerLetter"/>
      <w:start w:val="2"/>
    </w:lvl>
  </w:abstractNum>
  <w:abstractNum w:abstractNumId="132">
    <w:nsid w:val="78B5E776"/>
    <w:multiLevelType w:val="hybridMultilevel"/>
    <w:lvl w:ilvl="0">
      <w:lvlJc w:val="left"/>
      <w:lvlText w:val="%1."/>
      <w:numFmt w:val="lowerLetter"/>
      <w:start w:val="9"/>
    </w:lvl>
  </w:abstractNum>
  <w:abstractNum w:abstractNumId="133">
    <w:nsid w:val="75486E47"/>
    <w:multiLevelType w:val="hybridMultilevel"/>
    <w:lvl w:ilvl="0">
      <w:lvlJc w:val="left"/>
      <w:lvlText w:val="%1"/>
      <w:numFmt w:val="decimal"/>
      <w:start w:val="1"/>
    </w:lvl>
    <w:lvl w:ilvl="1">
      <w:lvlJc w:val="left"/>
      <w:lvlText w:val="%2."/>
      <w:numFmt w:val="lowerLetter"/>
      <w:start w:val="16"/>
    </w:lvl>
  </w:abstractNum>
  <w:abstractNum w:abstractNumId="134">
    <w:nsid w:val="6E534CDE"/>
    <w:multiLevelType w:val="hybridMultilevel"/>
    <w:lvl w:ilvl="0">
      <w:lvlJc w:val="left"/>
      <w:lvlText w:val="%1."/>
      <w:numFmt w:val="decimal"/>
      <w:start w:val="4"/>
    </w:lvl>
    <w:lvl w:ilvl="1">
      <w:lvlJc w:val="left"/>
      <w:lvlText w:val="%2"/>
      <w:numFmt w:val="lowerLetter"/>
      <w:start w:val="1"/>
    </w:lvl>
  </w:abstractNum>
  <w:abstractNum w:abstractNumId="135">
    <w:nsid w:val="1A0DDE32"/>
    <w:multiLevelType w:val="hybridMultilevel"/>
    <w:lvl w:ilvl="0">
      <w:lvlJc w:val="left"/>
      <w:lvlText w:val="%1."/>
      <w:numFmt w:val="decimal"/>
      <w:start w:val="7"/>
    </w:lvl>
  </w:abstractNum>
  <w:abstractNum w:abstractNumId="136">
    <w:nsid w:val="65968C1C"/>
    <w:multiLevelType w:val="hybridMultilevel"/>
    <w:lvl w:ilvl="0">
      <w:lvlJc w:val="left"/>
      <w:lvlText w:val="%1."/>
      <w:numFmt w:val="decimal"/>
      <w:start w:val="9"/>
    </w:lvl>
    <w:lvl w:ilvl="1">
      <w:lvlJc w:val="left"/>
      <w:lvlText w:val="%2."/>
      <w:numFmt w:val="lowerLetter"/>
      <w:start w:val="1"/>
    </w:lvl>
  </w:abstractNum>
  <w:abstractNum w:abstractNumId="137">
    <w:nsid w:val="46263DEC"/>
    <w:multiLevelType w:val="hybridMultilevel"/>
    <w:lvl w:ilvl="0">
      <w:lvlJc w:val="left"/>
      <w:lvlText w:val="%1."/>
      <w:numFmt w:val="lowerLetter"/>
      <w:start w:val="6"/>
    </w:lvl>
  </w:abstractNum>
  <w:abstractNum w:abstractNumId="138">
    <w:nsid w:val="260D8C4A"/>
    <w:multiLevelType w:val="hybridMultilevel"/>
    <w:lvl w:ilvl="0">
      <w:lvlJc w:val="left"/>
      <w:lvlText w:val="%1."/>
      <w:numFmt w:val="decimal"/>
      <w:start w:val="10"/>
    </w:lvl>
  </w:abstractNum>
  <w:abstractNum w:abstractNumId="139">
    <w:nsid w:val="73D4D3C4"/>
    <w:multiLevelType w:val="hybridMultilevel"/>
    <w:lvl w:ilvl="0">
      <w:lvlJc w:val="left"/>
      <w:lvlText w:val="%1."/>
      <w:numFmt w:val="lowerLetter"/>
      <w:start w:val="2"/>
    </w:lvl>
  </w:abstractNum>
  <w:abstractNum w:abstractNumId="140">
    <w:nsid w:val="746F2E30"/>
    <w:multiLevelType w:val="hybridMultilevel"/>
    <w:lvl w:ilvl="0">
      <w:lvlJc w:val="left"/>
      <w:lvlText w:val="%1."/>
      <w:numFmt w:val="decimal"/>
      <w:start w:val="11"/>
    </w:lvl>
  </w:abstractNum>
  <w:abstractNum w:abstractNumId="141">
    <w:nsid w:val="6FDE8AF6"/>
    <w:multiLevelType w:val="hybridMultilevel"/>
    <w:lvl w:ilvl="0">
      <w:lvlJc w:val="left"/>
      <w:lvlText w:val="%1."/>
      <w:numFmt w:val="lowerLetter"/>
      <w:start w:val="2"/>
    </w:lvl>
  </w:abstractNum>
  <w:abstractNum w:abstractNumId="142">
    <w:nsid w:val="3FC32E20"/>
    <w:multiLevelType w:val="hybridMultilevel"/>
    <w:lvl w:ilvl="0">
      <w:lvlJc w:val="left"/>
      <w:lvlText w:val="%1."/>
      <w:numFmt w:val="lowerLetter"/>
      <w:start w:val="3"/>
    </w:lvl>
  </w:abstractNum>
  <w:abstractNum w:abstractNumId="143">
    <w:nsid w:val="49C0E823"/>
    <w:multiLevelType w:val="hybridMultilevel"/>
    <w:lvl w:ilvl="0">
      <w:lvlJc w:val="left"/>
      <w:lvlText w:val="%1."/>
      <w:numFmt w:val="decimal"/>
      <w:start w:val="12"/>
    </w:lvl>
  </w:abstractNum>
  <w:abstractNum w:abstractNumId="144">
    <w:nsid w:val="14D53685"/>
    <w:multiLevelType w:val="hybridMultilevel"/>
    <w:lvl w:ilvl="0">
      <w:lvlJc w:val="left"/>
      <w:lvlText w:val="%1."/>
      <w:numFmt w:val="lowerLetter"/>
      <w:start w:val="2"/>
    </w:lvl>
  </w:abstractNum>
  <w:abstractNum w:abstractNumId="145">
    <w:nsid w:val="230F856C"/>
    <w:multiLevelType w:val="hybridMultilevel"/>
    <w:lvl w:ilvl="0">
      <w:lvlJc w:val="left"/>
      <w:lvlText w:val="%1."/>
      <w:numFmt w:val="decimal"/>
      <w:start w:val="14"/>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1"/>
    </w:lvl>
  </w:abstractNum>
  <w:abstractNum w:abstractNumId="148">
    <w:nsid w:val="3B594807"/>
    <w:multiLevelType w:val="hybridMultilevel"/>
    <w:lvl w:ilvl="0">
      <w:lvlJc w:val="left"/>
      <w:lvlText w:val="%1."/>
      <w:numFmt w:val="lowerLetter"/>
      <w:start w:val="2"/>
    </w:lvl>
  </w:abstractNum>
  <w:abstractNum w:abstractNumId="149">
    <w:nsid w:val="6CAA2304"/>
    <w:multiLevelType w:val="hybridMultilevel"/>
    <w:lvl w:ilvl="0">
      <w:lvlJc w:val="left"/>
      <w:lvlText w:val="%1."/>
      <w:numFmt w:val="lowerLetter"/>
      <w:start w:val="4"/>
    </w:lvl>
  </w:abstractNum>
  <w:abstractNum w:abstractNumId="150">
    <w:nsid w:val="3F7C2FF4"/>
    <w:multiLevelType w:val="hybridMultilevel"/>
    <w:lvl w:ilvl="0">
      <w:lvlJc w:val="left"/>
      <w:lvlText w:val="%1."/>
      <w:numFmt w:val="lowerLetter"/>
      <w:start w:val="5"/>
    </w:lvl>
  </w:abstractNum>
  <w:abstractNum w:abstractNumId="151">
    <w:nsid w:val="25413BEC"/>
    <w:multiLevelType w:val="hybridMultilevel"/>
    <w:lvl w:ilvl="0">
      <w:lvlJc w:val="left"/>
      <w:lvlText w:val="%1."/>
      <w:numFmt w:val="decimal"/>
      <w:start w:val="15"/>
    </w:lvl>
  </w:abstractNum>
  <w:abstractNum w:abstractNumId="152">
    <w:nsid w:val="17180B0B"/>
    <w:multiLevelType w:val="hybridMultilevel"/>
    <w:lvl w:ilvl="0">
      <w:lvlJc w:val="left"/>
      <w:lvlText w:val="%1."/>
      <w:numFmt w:val="decimal"/>
      <w:start w:val="16"/>
    </w:lvl>
  </w:abstractNum>
  <w:abstractNum w:abstractNumId="153">
    <w:nsid w:val="579328B9"/>
    <w:multiLevelType w:val="hybridMultilevel"/>
    <w:lvl w:ilvl="0">
      <w:lvlJc w:val="left"/>
      <w:lvlText w:val="%1."/>
      <w:numFmt w:val="decimal"/>
      <w:start w:val="17"/>
    </w:lvl>
  </w:abstractNum>
  <w:abstractNum w:abstractNumId="154">
    <w:nsid w:val="5D205E20"/>
    <w:multiLevelType w:val="hybridMultilevel"/>
    <w:lvl w:ilvl="0">
      <w:lvlJc w:val="left"/>
      <w:lvlText w:val="(%1)"/>
      <w:numFmt w:val="decimal"/>
      <w:start w:val="1"/>
    </w:lvl>
    <w:lvl w:ilvl="1">
      <w:lvlJc w:val="left"/>
      <w:lvlText w:val="(%2)"/>
      <w:numFmt w:val="lowerRoman"/>
      <w:start w:val="1"/>
    </w:lvl>
  </w:abstractNum>
  <w:abstractNum w:abstractNumId="155">
    <w:nsid w:val="11CCA8BA"/>
    <w:multiLevelType w:val="hybridMultilevel"/>
    <w:lvl w:ilvl="0">
      <w:lvlJc w:val="left"/>
      <w:lvlText w:val="(%1)"/>
      <w:numFmt w:val="lowerRoman"/>
      <w:start w:val="2"/>
    </w:lvl>
    <w:lvl w:ilvl="1">
      <w:lvlJc w:val="left"/>
      <w:lvlText w:val="(%2)"/>
      <w:numFmt w:val="lowerRoman"/>
      <w:start w:val="2"/>
    </w:lvl>
  </w:abstractNum>
  <w:abstractNum w:abstractNumId="156">
    <w:nsid w:val="4D32AB86"/>
    <w:multiLevelType w:val="hybridMultilevel"/>
    <w:lvl w:ilvl="0">
      <w:lvlJc w:val="left"/>
      <w:lvlText w:val="(%1)"/>
      <w:numFmt w:val="lowerRoman"/>
      <w:start w:val="3"/>
    </w:lvl>
  </w:abstractNum>
  <w:abstractNum w:abstractNumId="157">
    <w:nsid w:val="3F07ACC3"/>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158">
    <w:nsid w:val="6B47F63E"/>
    <w:multiLevelType w:val="hybridMultilevel"/>
    <w:lvl w:ilvl="0">
      <w:lvlJc w:val="left"/>
      <w:lvlText w:val="%1"/>
      <w:numFmt w:val="lowerLetter"/>
      <w:start w:val="1"/>
    </w:lvl>
    <w:lvl w:ilvl="1">
      <w:lvlJc w:val="left"/>
      <w:lvlText w:val="%2."/>
      <w:numFmt w:val="lowerRoman"/>
      <w:start w:val="3"/>
    </w:lvl>
  </w:abstractNum>
  <w:abstractNum w:abstractNumId="159">
    <w:nsid w:val="5CB44A05"/>
    <w:multiLevelType w:val="hybridMultilevel"/>
    <w:lvl w:ilvl="0">
      <w:lvlJc w:val="left"/>
      <w:lvlText w:val="(%1)"/>
      <w:numFmt w:val="lowerLetter"/>
      <w:start w:val="3"/>
    </w:lvl>
    <w:lvl w:ilvl="1">
      <w:lvlJc w:val="left"/>
      <w:lvlText w:val="%2"/>
      <w:numFmt w:val="lowerRoman"/>
      <w:start w:val="1"/>
    </w:lvl>
  </w:abstractNum>
  <w:abstractNum w:abstractNumId="160">
    <w:nsid w:val="16CF80F1"/>
    <w:multiLevelType w:val="hybridMultilevel"/>
    <w:lvl w:ilvl="0">
      <w:lvlJc w:val="left"/>
      <w:lvlText w:val="(%1)"/>
      <w:numFmt w:val="lowerLetter"/>
      <w:start w:val="4"/>
    </w:lvl>
  </w:abstractNum>
  <w:abstractNum w:abstractNumId="161">
    <w:nsid w:val="1C695DEC"/>
    <w:multiLevelType w:val="hybridMultilevel"/>
    <w:lvl w:ilvl="0">
      <w:lvlJc w:val="left"/>
      <w:lvlText w:val="(%1)"/>
      <w:numFmt w:val="lowerRoman"/>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2019-12-09T09:30:41Z</dcterms:created>
  <dcterms:modified xsi:type="dcterms:W3CDTF">2019-12-09T09:30:41Z</dcterms:modified>
</cp:coreProperties>
</file>